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5"/>
      <w:bookmarkEnd w:id="0"/>
      <w:bookmarkStart w:id="1" w:name="_Hlt448930105"/>
      <w:bookmarkEnd w:id="1"/>
      <w:bookmarkStart w:id="2" w:name="_Hlt450066087"/>
      <w:bookmarkEnd w:id="2"/>
      <w:bookmarkStart w:id="3" w:name="_Hlt450039480"/>
      <w:bookmarkEnd w:id="3"/>
      <w:bookmarkStart w:id="4" w:name="_Hlt450051172"/>
      <w:bookmarkEnd w:id="4"/>
      <w:bookmarkStart w:id="5" w:name="_Hlt449016246"/>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R4-250094</w:t>
      </w:r>
      <w:r>
        <w:rPr>
          <w:rFonts w:hint="eastAsia" w:eastAsia="宋体"/>
          <w:b/>
          <w:sz w:val="24"/>
          <w:lang w:val="en-US" w:eastAsia="zh-CN"/>
        </w:rPr>
        <w:t>8</w:t>
      </w:r>
      <w:bookmarkStart w:id="21" w:name="_GoBack"/>
      <w:bookmarkEnd w:id="21"/>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7"/>
    <w:bookmarkEnd w:id="8"/>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R19 increase power limit left issue and MSD rule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9" w:name="OLE_LINK25"/>
      <w:r>
        <w:rPr>
          <w:rFonts w:hint="eastAsia" w:cs="Times New Roman"/>
          <w:sz w:val="20"/>
          <w:szCs w:val="20"/>
          <w:lang w:val="en-US" w:eastAsia="zh-CN"/>
        </w:rPr>
        <w:t>In previous meeting, except SAR solution, it seems the other issues have been reached consequence. Meanwhile, MSD rule discussed was jumped into this WID from other thread and discussed for recent two meetings.</w:t>
      </w:r>
    </w:p>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 on</w:t>
      </w:r>
      <w:r>
        <w:rPr>
          <w:rFonts w:hint="eastAsia" w:cs="Times New Roman"/>
          <w:sz w:val="20"/>
          <w:szCs w:val="20"/>
          <w:lang w:val="en-US" w:eastAsia="zh-CN"/>
        </w:rPr>
        <w:t xml:space="preserve"> the left issues and MSD rule for </w:t>
      </w:r>
      <w:bookmarkStart w:id="10" w:name="OLE_LINK6"/>
      <w:r>
        <w:rPr>
          <w:rFonts w:hint="eastAsia" w:cs="Times New Roman"/>
          <w:sz w:val="20"/>
          <w:szCs w:val="20"/>
          <w:lang w:val="en-US" w:eastAsia="zh-CN"/>
        </w:rPr>
        <w:t xml:space="preserve">R19 </w:t>
      </w:r>
      <w:bookmarkStart w:id="11" w:name="OLE_LINK51"/>
      <w:r>
        <w:rPr>
          <w:rFonts w:hint="eastAsia" w:cs="Times New Roman"/>
          <w:sz w:val="20"/>
          <w:szCs w:val="20"/>
          <w:lang w:val="en-US" w:eastAsia="zh-CN"/>
        </w:rPr>
        <w:t>Increasing UE transmission power limit</w:t>
      </w:r>
      <w:bookmarkEnd w:id="10"/>
      <w:bookmarkEnd w:id="11"/>
      <w:r>
        <w:rPr>
          <w:rFonts w:hint="eastAsia" w:cs="Times New Roman"/>
          <w:sz w:val="20"/>
          <w:szCs w:val="20"/>
          <w:lang w:val="en-US" w:eastAsia="zh-CN"/>
        </w:rPr>
        <w:t>.</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cs="Times New Roman"/>
          <w:b/>
          <w:bCs/>
          <w:i w:val="0"/>
          <w:iCs w:val="0"/>
          <w:sz w:val="20"/>
          <w:szCs w:val="22"/>
          <w:highlight w:val="none"/>
          <w:lang w:val="en-US" w:eastAsia="zh-CN"/>
        </w:rPr>
      </w:pPr>
      <w:bookmarkStart w:id="12" w:name="OLE_LINK66"/>
      <w:bookmarkStart w:id="13" w:name="OLE_LINK23"/>
      <w:bookmarkStart w:id="14" w:name="OLE_LINK11"/>
      <w:bookmarkStart w:id="15" w:name="OLE_LINK28"/>
      <w:r>
        <w:rPr>
          <w:rFonts w:hint="eastAsia" w:cs="Times New Roman"/>
          <w:b/>
          <w:bCs/>
          <w:i w:val="0"/>
          <w:iCs w:val="0"/>
          <w:sz w:val="20"/>
          <w:szCs w:val="22"/>
          <w:highlight w:val="none"/>
          <w:lang w:val="en-US" w:eastAsia="zh-CN"/>
        </w:rPr>
        <w:t>2.1 Duty Cycle solution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sz w:val="20"/>
          <w:szCs w:val="20"/>
          <w:lang w:val="en-US" w:eastAsia="zh-CN"/>
        </w:rPr>
      </w:pPr>
      <w:r>
        <w:rPr>
          <w:rFonts w:hint="eastAsia" w:cs="Times New Roman"/>
          <w:i w:val="0"/>
          <w:iCs w:val="0"/>
          <w:sz w:val="20"/>
          <w:szCs w:val="22"/>
          <w:highlight w:val="none"/>
          <w:lang w:val="en-US" w:eastAsia="zh-CN"/>
        </w:rPr>
        <w:t>For the duty cycle solution for SAR compliance, the agreements in the past meetings were captured in the WFs[1][2][3][4]. In the latest WF[4], how to reflect the duty cycle solution in the specifications are also given as staring point:</w:t>
      </w:r>
      <w:r>
        <w:rPr>
          <w:rFonts w:hint="eastAsia" w:cs="Times New Roman"/>
          <w:sz w:val="2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pBdr>
                <w:top w:val="none" w:color="auto" w:sz="0" w:space="0"/>
              </w:pBdr>
              <w:kinsoku/>
              <w:wordWrap/>
              <w:overflowPunct w:val="0"/>
              <w:topLinePunct w:val="0"/>
              <w:autoSpaceDE w:val="0"/>
              <w:autoSpaceDN w:val="0"/>
              <w:bidi w:val="0"/>
              <w:adjustRightInd w:val="0"/>
              <w:spacing w:before="180" w:after="180"/>
              <w:ind w:left="1134" w:hanging="1134"/>
              <w:textAlignment w:val="baseline"/>
              <w:outlineLvl w:val="1"/>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4.2 Duty cycle solution for SAR compliance</w:t>
            </w:r>
          </w:p>
          <w:p>
            <w:pPr>
              <w:keepNext/>
              <w:keepLines/>
              <w:pageBreakBefore w:val="0"/>
              <w:widowControl/>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等线" w:cs="Times New Roman"/>
                <w:b/>
                <w:bCs/>
                <w:kern w:val="0"/>
                <w:sz w:val="20"/>
                <w:szCs w:val="24"/>
                <w:lang w:val="en-GB" w:eastAsia="zh-CN"/>
              </w:rPr>
            </w:pPr>
            <w:r>
              <w:rPr>
                <w:rFonts w:hint="eastAsia" w:ascii="Times New Roman" w:hAnsi="Times New Roman" w:eastAsia="等线" w:cs="Times New Roman"/>
                <w:b/>
                <w:bCs/>
                <w:kern w:val="0"/>
                <w:sz w:val="20"/>
                <w:szCs w:val="24"/>
                <w:lang w:val="en-GB" w:eastAsia="zh-CN"/>
              </w:rPr>
              <w:t>A</w:t>
            </w:r>
            <w:r>
              <w:rPr>
                <w:rFonts w:ascii="Times New Roman" w:hAnsi="Times New Roman" w:eastAsia="等线" w:cs="Times New Roman"/>
                <w:b/>
                <w:bCs/>
                <w:kern w:val="0"/>
                <w:sz w:val="20"/>
                <w:szCs w:val="24"/>
                <w:lang w:val="en-GB" w:eastAsia="zh-CN"/>
              </w:rPr>
              <w:t>greement:</w:t>
            </w:r>
          </w:p>
          <w:p>
            <w:pPr>
              <w:keepNext/>
              <w:keepLines/>
              <w:pageBreakBefore w:val="0"/>
              <w:widowControl/>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等线" w:cs="Times New Roman"/>
                <w:lang w:val="en-GB" w:eastAsia="en-GB" w:bidi="ar-SA"/>
              </w:rPr>
            </w:pPr>
            <w:r>
              <w:rPr>
                <w:rFonts w:hint="eastAsia" w:ascii="Times New Roman" w:hAnsi="Times New Roman" w:eastAsia="等线" w:cs="Times New Roman"/>
                <w:lang w:val="en-GB" w:eastAsia="en-GB" w:bidi="ar-SA"/>
              </w:rPr>
              <w:t>I</w:t>
            </w:r>
            <w:r>
              <w:rPr>
                <w:rFonts w:ascii="Times New Roman" w:hAnsi="Times New Roman" w:eastAsia="等线" w:cs="Times New Roman"/>
                <w:lang w:val="en-GB" w:eastAsia="en-GB" w:bidi="ar-SA"/>
              </w:rPr>
              <w:t>ntroduction of new duty-cycle IE is not considered</w:t>
            </w:r>
          </w:p>
          <w:p>
            <w:pPr>
              <w:keepNext/>
              <w:keepLines/>
              <w:pageBreakBefore w:val="0"/>
              <w:widowControl/>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For ENDC (FDD+FDD), only reply on P-MPR, and there is no further spec changes needed</w:t>
            </w:r>
          </w:p>
          <w:p>
            <w:pPr>
              <w:keepNext/>
              <w:keepLines/>
              <w:pageBreakBefore w:val="0"/>
              <w:widowControl/>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Times New Roman" w:cs="Times New Roman"/>
                <w:szCs w:val="24"/>
                <w:lang w:val="en-GB" w:eastAsia="zh-CN" w:bidi="ar-SA"/>
              </w:rPr>
            </w:pPr>
            <w:r>
              <w:rPr>
                <w:rFonts w:hint="eastAsia" w:ascii="Times New Roman" w:hAnsi="Times New Roman" w:eastAsia="等线" w:cs="Times New Roman"/>
                <w:lang w:val="en-GB" w:eastAsia="zh-CN" w:bidi="ar-SA"/>
              </w:rPr>
              <w:t>F</w:t>
            </w:r>
            <w:r>
              <w:rPr>
                <w:rFonts w:ascii="Times New Roman" w:hAnsi="Times New Roman" w:eastAsia="等线" w:cs="Times New Roman"/>
                <w:lang w:val="en-GB" w:eastAsia="zh-CN" w:bidi="ar-SA"/>
              </w:rPr>
              <w:t>ollowing as starting point</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cs="Times New Roman"/>
                <w:sz w:val="20"/>
                <w:szCs w:val="20"/>
                <w:vertAlign w:val="baseline"/>
                <w:lang w:val="en-US" w:eastAsia="zh-CN"/>
              </w:rPr>
            </w:pPr>
            <w:r>
              <w:rPr>
                <w:rFonts w:hint="eastAsia" w:cs="Times New Roman"/>
                <w:sz w:val="20"/>
                <w:szCs w:val="20"/>
                <w:vertAlign w:val="baseline"/>
                <w:lang w:val="en-US" w:eastAsia="zh-CN"/>
              </w:rPr>
              <w:t>&lt;......&gt;</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sz w:val="20"/>
          <w:szCs w:val="20"/>
          <w:lang w:val="en-US" w:eastAsia="zh-CN"/>
        </w:rPr>
      </w:pPr>
      <w:r>
        <w:rPr>
          <w:rFonts w:hint="eastAsia" w:cs="Times New Roman"/>
          <w:sz w:val="20"/>
          <w:szCs w:val="20"/>
          <w:lang w:val="en-US" w:eastAsia="zh-CN"/>
        </w:rPr>
        <w:t>From the above starting point, we can observe that the similar texts of PC1.5 single CC are added in the example duty cycle wordings for PC1.5 TDD UL intra-band contiguous and non-contiguous CA in the WF.</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lang w:val="en-US" w:eastAsia="zh-CN"/>
        </w:rPr>
      </w:pPr>
      <w:r>
        <w:rPr>
          <w:rFonts w:hint="eastAsia" w:cs="Times New Roman"/>
          <w:b/>
          <w:bCs/>
          <w:sz w:val="20"/>
          <w:szCs w:val="20"/>
          <w:lang w:val="en-US" w:eastAsia="zh-CN"/>
        </w:rPr>
        <w:t xml:space="preserve">Observation 1: For PC1.5 TDD UL intra-band contiguous and non-contiguous CA, </w:t>
      </w:r>
      <w:r>
        <w:rPr>
          <w:rFonts w:hint="default" w:cs="Times New Roman"/>
          <w:b/>
          <w:bCs/>
          <w:sz w:val="20"/>
          <w:szCs w:val="20"/>
          <w:lang w:val="en-US" w:eastAsia="zh-CN"/>
        </w:rPr>
        <w:t xml:space="preserve">the </w:t>
      </w:r>
      <w:r>
        <w:rPr>
          <w:rFonts w:hint="eastAsia" w:cs="Times New Roman"/>
          <w:b/>
          <w:bCs/>
          <w:sz w:val="20"/>
          <w:szCs w:val="20"/>
          <w:lang w:val="en-US" w:eastAsia="zh-CN"/>
        </w:rPr>
        <w:t xml:space="preserve">PC1.5 </w:t>
      </w:r>
      <w:r>
        <w:rPr>
          <w:rFonts w:hint="default" w:cs="Times New Roman"/>
          <w:b/>
          <w:bCs/>
          <w:sz w:val="20"/>
          <w:szCs w:val="20"/>
          <w:lang w:val="en-US" w:eastAsia="zh-CN"/>
        </w:rPr>
        <w:t xml:space="preserve">single CC </w:t>
      </w:r>
      <w:r>
        <w:rPr>
          <w:rFonts w:hint="eastAsia" w:cs="Times New Roman"/>
          <w:b/>
          <w:bCs/>
          <w:sz w:val="20"/>
          <w:szCs w:val="20"/>
          <w:lang w:val="en-US" w:eastAsia="zh-CN"/>
        </w:rPr>
        <w:t>capabilities/approach (i.e. maxUplinkDutyCycle-PC2-FR1, maxUplinkDutyCycle-PC1dot5-MPE-FR1) are reused.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sz w:val="20"/>
          <w:szCs w:val="20"/>
          <w:lang w:val="en-US" w:eastAsia="zh-CN"/>
        </w:rPr>
      </w:pPr>
      <w:r>
        <w:rPr>
          <w:rFonts w:hint="eastAsia" w:cs="Times New Roman"/>
          <w:sz w:val="20"/>
          <w:szCs w:val="20"/>
          <w:lang w:val="en-US" w:eastAsia="zh-CN"/>
        </w:rPr>
        <w:t xml:space="preserve">However, for PC1.5 inter-band UL CA, it become a bit complicated. As we discussed in [5], we think only consider P-MPR scheme for the HPUE 2Tx/3Tx band combination including PC2 FDD band, i.e. FDD+FDD, FDD+TDD. For PC1.5 inter-band UL CA with pure FDD+FDD configuration, it was already agreed that </w:t>
      </w:r>
      <w:r>
        <w:rPr>
          <w:rFonts w:hint="eastAsia" w:cs="Times New Roman"/>
          <w:sz w:val="20"/>
          <w:szCs w:val="20"/>
          <w:lang w:val="en-GB" w:eastAsia="zh-CN"/>
        </w:rPr>
        <w:t>only reply on P-MPR</w:t>
      </w:r>
      <w:r>
        <w:rPr>
          <w:rFonts w:hint="eastAsia" w:cs="Times New Roman"/>
          <w:sz w:val="20"/>
          <w:szCs w:val="20"/>
          <w:lang w:val="en-US" w:eastAsia="zh-CN"/>
        </w:rPr>
        <w:t xml:space="preserve"> for ENDC. We think it is the same for inter-band UL CA, which means the only P-MPR is applied for both PC1.5 inter-band UL CA and PC1.5 ENDC.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lang w:val="en-US" w:eastAsia="zh-CN"/>
        </w:rPr>
      </w:pPr>
      <w:r>
        <w:rPr>
          <w:rFonts w:hint="eastAsia" w:cs="Times New Roman"/>
          <w:b/>
          <w:bCs/>
          <w:sz w:val="20"/>
          <w:szCs w:val="20"/>
          <w:lang w:val="en-US" w:eastAsia="zh-CN"/>
        </w:rPr>
        <w:t xml:space="preserve">Proposal 1: </w:t>
      </w:r>
      <w:r>
        <w:rPr>
          <w:rFonts w:hint="eastAsia" w:cs="Times New Roman"/>
          <w:b/>
          <w:bCs/>
          <w:sz w:val="20"/>
          <w:szCs w:val="20"/>
          <w:lang w:val="en-GB" w:eastAsia="zh-CN"/>
        </w:rPr>
        <w:t xml:space="preserve">For </w:t>
      </w:r>
      <w:r>
        <w:rPr>
          <w:rFonts w:hint="eastAsia" w:cs="Times New Roman"/>
          <w:b/>
          <w:bCs/>
          <w:sz w:val="20"/>
          <w:szCs w:val="20"/>
          <w:lang w:val="en-US" w:eastAsia="zh-CN"/>
        </w:rPr>
        <w:t>inter-band UL CA</w:t>
      </w:r>
      <w:r>
        <w:rPr>
          <w:rFonts w:hint="eastAsia" w:cs="Times New Roman"/>
          <w:b/>
          <w:bCs/>
          <w:sz w:val="20"/>
          <w:szCs w:val="20"/>
          <w:lang w:val="en-GB" w:eastAsia="zh-CN"/>
        </w:rPr>
        <w:t xml:space="preserve"> (FDD+FDD), only reply on P-MPR</w:t>
      </w:r>
      <w:r>
        <w:rPr>
          <w:rFonts w:hint="eastAsia" w:cs="Times New Roman"/>
          <w:b/>
          <w:bCs/>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sz w:val="20"/>
          <w:szCs w:val="20"/>
          <w:lang w:val="en-US" w:eastAsia="zh-CN"/>
        </w:rPr>
      </w:pPr>
      <w:r>
        <w:rPr>
          <w:rFonts w:hint="eastAsia" w:cs="Times New Roman"/>
          <w:sz w:val="20"/>
          <w:szCs w:val="20"/>
          <w:lang w:val="en-US" w:eastAsia="zh-CN"/>
        </w:rPr>
        <w:t xml:space="preserve">For FDD-TDD/TDD-TDD configuration, the example texts are included in the WF as starting point. However, it seems it also includes 3Tx in the example texts but there are two clauses for 2Tx (clause </w:t>
      </w:r>
      <w:r>
        <w:rPr>
          <w:rFonts w:hint="default" w:cs="Times New Roman"/>
          <w:sz w:val="20"/>
          <w:szCs w:val="20"/>
          <w:lang w:val="en-US" w:eastAsia="zh-CN"/>
        </w:rPr>
        <w:t>6.2A</w:t>
      </w:r>
      <w:r>
        <w:rPr>
          <w:rFonts w:hint="eastAsia" w:cs="Times New Roman"/>
          <w:sz w:val="20"/>
          <w:szCs w:val="20"/>
          <w:lang w:val="en-US" w:eastAsia="zh-CN"/>
        </w:rPr>
        <w:t xml:space="preserve">.1.3) and 3Tx inter-band UL CA(clause </w:t>
      </w:r>
      <w:r>
        <w:rPr>
          <w:rFonts w:hint="default" w:cs="Times New Roman"/>
          <w:sz w:val="20"/>
          <w:szCs w:val="20"/>
          <w:lang w:val="en-US" w:eastAsia="zh-CN"/>
        </w:rPr>
        <w:t>6.2</w:t>
      </w:r>
      <w:r>
        <w:rPr>
          <w:rFonts w:hint="eastAsia" w:cs="Times New Roman"/>
          <w:sz w:val="20"/>
          <w:szCs w:val="20"/>
          <w:lang w:val="en-US" w:eastAsia="zh-CN"/>
        </w:rPr>
        <w:t xml:space="preserve">H.3.1), respectively.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addition, we think the descriptions for PC2 and PC1.5 2Tx should be separated in clause </w:t>
      </w:r>
      <w:r>
        <w:rPr>
          <w:rFonts w:hint="default" w:cs="Times New Roman"/>
          <w:sz w:val="20"/>
          <w:szCs w:val="20"/>
          <w:lang w:val="en-US" w:eastAsia="zh-CN"/>
        </w:rPr>
        <w:t>6.2A</w:t>
      </w:r>
      <w:r>
        <w:rPr>
          <w:rFonts w:hint="eastAsia" w:cs="Times New Roman"/>
          <w:sz w:val="20"/>
          <w:szCs w:val="20"/>
          <w:lang w:val="en-US" w:eastAsia="zh-CN"/>
        </w:rPr>
        <w:t xml:space="preserve">.1.3 by borrowing the idea of 3Tx in clause </w:t>
      </w:r>
      <w:r>
        <w:rPr>
          <w:rFonts w:hint="default" w:cs="Times New Roman"/>
          <w:sz w:val="20"/>
          <w:szCs w:val="20"/>
          <w:lang w:val="en-US" w:eastAsia="zh-CN"/>
        </w:rPr>
        <w:t>6.2</w:t>
      </w:r>
      <w:r>
        <w:rPr>
          <w:rFonts w:hint="eastAsia" w:cs="Times New Roman"/>
          <w:sz w:val="20"/>
          <w:szCs w:val="20"/>
          <w:lang w:val="en-US" w:eastAsia="zh-CN"/>
        </w:rPr>
        <w:t>H.3.1.</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sz w:val="20"/>
          <w:szCs w:val="20"/>
          <w:lang w:val="en-US" w:eastAsia="zh-CN"/>
        </w:rPr>
      </w:pPr>
      <w:r>
        <w:rPr>
          <w:rFonts w:hint="eastAsia" w:cs="Times New Roman"/>
          <w:sz w:val="20"/>
          <w:szCs w:val="20"/>
          <w:lang w:val="en-US" w:eastAsia="zh-CN"/>
        </w:rPr>
        <w:t xml:space="preserve">Considering the above, the duty cycle description for 2Tx in clause </w:t>
      </w:r>
      <w:r>
        <w:rPr>
          <w:rFonts w:hint="default" w:cs="Times New Roman"/>
          <w:sz w:val="20"/>
          <w:szCs w:val="20"/>
          <w:lang w:val="en-US" w:eastAsia="zh-CN"/>
        </w:rPr>
        <w:t>6.2A.4.1.3</w:t>
      </w:r>
      <w:r>
        <w:rPr>
          <w:rFonts w:hint="eastAsia" w:cs="Times New Roman"/>
          <w:sz w:val="20"/>
          <w:szCs w:val="20"/>
          <w:lang w:val="en-US" w:eastAsia="zh-CN"/>
        </w:rPr>
        <w:t xml:space="preserve"> look likes:</w:t>
      </w:r>
      <w:r>
        <w:rPr>
          <w:rFonts w:hint="eastAsia" w:cs="Times New Roman"/>
          <w:b/>
          <w:bCs/>
          <w:sz w:val="2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2" w:type="dxa"/>
          </w:tcPr>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0" w:right="0"/>
              <w:textAlignment w:val="baseline"/>
              <w:rPr>
                <w:rFonts w:hint="default"/>
              </w:rPr>
            </w:pPr>
            <w:bookmarkStart w:id="16" w:name="_Hlk182407115"/>
            <w:r>
              <w:rPr>
                <w:rFonts w:hint="default"/>
              </w:rPr>
              <w:t>If a UE supports a different power class than the default UE power class for the band</w:t>
            </w:r>
            <w:r>
              <w:rPr>
                <w:rFonts w:hint="eastAsia"/>
              </w:rPr>
              <w:t xml:space="preserve"> combination listed in </w:t>
            </w:r>
            <w:r>
              <w:rPr>
                <w:rFonts w:hint="default"/>
              </w:rPr>
              <w:t>Table 6.2A.1.3-1 and the supported power class enables the higher maximum output power than that of the default power class:</w:t>
            </w:r>
          </w:p>
          <w:p>
            <w:pPr>
              <w:keepNext/>
              <w:keepLines/>
              <w:pageBreakBefore w:val="0"/>
              <w:widowControl/>
              <w:kinsoku/>
              <w:wordWrap/>
              <w:overflowPunct w:val="0"/>
              <w:topLinePunct w:val="0"/>
              <w:autoSpaceDE w:val="0"/>
              <w:autoSpaceDN w:val="0"/>
              <w:bidi w:val="0"/>
              <w:adjustRightInd w:val="0"/>
              <w:spacing w:after="180"/>
              <w:textAlignment w:val="baseline"/>
              <w:rPr>
                <w:rFonts w:hint="default"/>
                <w:color w:val="0000FF"/>
              </w:rPr>
            </w:pPr>
            <w:r>
              <w:rPr>
                <w:color w:val="0000FF"/>
              </w:rPr>
              <w:t>If a UE supports power class 2 for the band</w:t>
            </w:r>
            <w:r>
              <w:rPr>
                <w:rFonts w:hint="eastAsia"/>
                <w:color w:val="0000FF"/>
                <w:lang w:eastAsia="zh-CN"/>
              </w:rPr>
              <w:t xml:space="preserve"> combination listed in </w:t>
            </w:r>
            <w:r>
              <w:rPr>
                <w:color w:val="0000FF"/>
              </w:rPr>
              <w:t>Table 6.2</w:t>
            </w:r>
            <w:r>
              <w:rPr>
                <w:rFonts w:hint="eastAsia"/>
                <w:color w:val="0000FF"/>
                <w:lang w:val="en-US" w:eastAsia="zh-CN"/>
              </w:rPr>
              <w:t>A1.3-1</w:t>
            </w:r>
            <w:r>
              <w:rPr>
                <w:color w:val="0000FF"/>
              </w:rPr>
              <w:t>:</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eastAsia="等线"/>
              </w:rPr>
            </w:pPr>
            <w:r>
              <w:rPr>
                <w:rFonts w:hint="default" w:eastAsia="等线"/>
              </w:rPr>
              <w:t>–</w:t>
            </w:r>
            <w:r>
              <w:rPr>
                <w:rFonts w:hint="default" w:eastAsia="等线"/>
              </w:rPr>
              <w:tab/>
            </w:r>
            <w:r>
              <w:rPr>
                <w:rFonts w:hint="default" w:eastAsia="等线"/>
              </w:rPr>
              <w:t xml:space="preserve">if the field of UE capability </w:t>
            </w:r>
            <w:r>
              <w:rPr>
                <w:rFonts w:hint="default" w:eastAsia="等线"/>
                <w:i/>
              </w:rPr>
              <w:t>maxUplinkDutyCycle-interBandCA-PC2</w:t>
            </w:r>
            <w:r>
              <w:rPr>
                <w:rFonts w:hint="default" w:eastAsia="等线"/>
              </w:rPr>
              <w:t xml:space="preserve"> is not absent and the average percentage of uplink symbols transmitted in a certain evaluation period is larger than </w:t>
            </w:r>
            <w:r>
              <w:rPr>
                <w:rFonts w:hint="default" w:eastAsia="等线"/>
                <w:i/>
              </w:rPr>
              <w:t>maxUplinkDutyCycle-interBandCA-PC2</w:t>
            </w:r>
            <w:r>
              <w:rPr>
                <w:rFonts w:hint="default" w:eastAsia="等线"/>
              </w:rPr>
              <w:t xml:space="preserve"> as defined in TS 38.306 (The exact evaluation period is no less than one radio frame); or</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lang w:bidi="bn-IN"/>
              </w:rPr>
            </w:pPr>
            <w:r>
              <w:rPr>
                <w:rFonts w:hint="default" w:eastAsia="等线"/>
              </w:rPr>
              <w:t>–</w:t>
            </w:r>
            <w:r>
              <w:rPr>
                <w:rFonts w:hint="default" w:eastAsia="等线"/>
              </w:rPr>
              <w:tab/>
            </w:r>
            <w:r>
              <w:rPr>
                <w:rFonts w:hint="default"/>
              </w:rPr>
              <w:t xml:space="preserve"> if </w:t>
            </w:r>
            <w:r>
              <w:rPr>
                <w:rFonts w:hint="default" w:cs="Vrinda"/>
                <w:lang w:bidi="bn-IN"/>
              </w:rPr>
              <w:t>10 log</w:t>
            </w:r>
            <w:r>
              <w:rPr>
                <w:rFonts w:hint="default" w:cs="Vrinda"/>
                <w:vertAlign w:val="subscript"/>
                <w:lang w:bidi="bn-IN"/>
              </w:rPr>
              <w:t>10</w:t>
            </w:r>
            <w:r>
              <w:rPr>
                <w:rFonts w:hint="default" w:cs="Vrinda"/>
                <w:lang w:bidi="bn-IN"/>
              </w:rPr>
              <w:t xml:space="preserve"> </w:t>
            </w:r>
            <w:r>
              <w:rPr>
                <w:rFonts w:hint="default"/>
              </w:rPr>
              <w:t xml:space="preserve">∑ </w:t>
            </w:r>
            <w:r>
              <w:rPr>
                <w:rFonts w:hint="default" w:cs="Vrinda"/>
                <w:lang w:bidi="bn-IN"/>
              </w:rPr>
              <w:t>p</w:t>
            </w:r>
            <w:r>
              <w:rPr>
                <w:rFonts w:hint="default" w:cs="Vrinda"/>
                <w:vertAlign w:val="subscript"/>
                <w:lang w:bidi="bn-IN"/>
              </w:rPr>
              <w:t>EMAX,c</w:t>
            </w:r>
            <w:r>
              <w:rPr>
                <w:rFonts w:hint="default"/>
              </w:rPr>
              <w:t xml:space="preserve"> or </w:t>
            </w:r>
            <w:r>
              <w:rPr>
                <w:rFonts w:hint="default"/>
                <w:lang w:bidi="bn-IN"/>
              </w:rPr>
              <w:t>P</w:t>
            </w:r>
            <w:r>
              <w:rPr>
                <w:rFonts w:hint="default"/>
                <w:vertAlign w:val="subscript"/>
                <w:lang w:bidi="bn-IN"/>
              </w:rPr>
              <w:t>EMAX,CA</w:t>
            </w:r>
            <w:r>
              <w:rPr>
                <w:rFonts w:hint="default"/>
              </w:rPr>
              <w:t xml:space="preserve"> which defined in clause 6.2A.4.1.3 is 23dBm or lower;</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1050" w:leftChars="300" w:right="0" w:hanging="420" w:hangingChars="200"/>
              <w:textAlignment w:val="baseline"/>
              <w:rPr>
                <w:rFonts w:hint="default" w:eastAsia="等线"/>
              </w:rPr>
            </w:pPr>
            <w:r>
              <w:rPr>
                <w:rFonts w:hint="default" w:eastAsia="等线"/>
              </w:rPr>
              <w:t>–</w:t>
            </w:r>
            <w:r>
              <w:rPr>
                <w:rFonts w:hint="default" w:eastAsia="等线"/>
              </w:rPr>
              <w:tab/>
            </w:r>
            <w:r>
              <w:rPr>
                <w:rFonts w:hint="default" w:eastAsia="等线"/>
              </w:rPr>
              <w:t>shall apply all requirements for the default power class to the supported power class and set the configured transmitted power as specified in clause 6.2</w:t>
            </w:r>
            <w:r>
              <w:rPr>
                <w:rFonts w:hint="eastAsia" w:eastAsia="等线"/>
                <w:lang w:eastAsia="zh-CN"/>
              </w:rPr>
              <w:t>A</w:t>
            </w:r>
            <w:r>
              <w:rPr>
                <w:rFonts w:hint="default" w:eastAsia="等线"/>
              </w:rPr>
              <w:t>.4.1.3;</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lang w:eastAsia="zh-CN"/>
              </w:rPr>
            </w:pPr>
            <w:r>
              <w:rPr>
                <w:rFonts w:hint="default"/>
              </w:rPr>
              <w:t>–</w:t>
            </w:r>
            <w:r>
              <w:rPr>
                <w:rFonts w:hint="default"/>
              </w:rPr>
              <w:tab/>
            </w:r>
            <w:r>
              <w:rPr>
                <w:rFonts w:hint="eastAsia"/>
                <w:lang w:eastAsia="zh-CN"/>
              </w:rPr>
              <w:t>else;</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1050" w:leftChars="300" w:right="0" w:hanging="420" w:hangingChars="200"/>
              <w:textAlignment w:val="baseline"/>
              <w:rPr>
                <w:rFonts w:hint="default"/>
                <w:lang w:eastAsia="zh-CN"/>
              </w:rPr>
            </w:pPr>
            <w:r>
              <w:rPr>
                <w:rFonts w:hint="default" w:eastAsia="等线"/>
              </w:rPr>
              <w:t>–</w:t>
            </w:r>
            <w:r>
              <w:rPr>
                <w:rFonts w:hint="default" w:eastAsia="等线"/>
              </w:rPr>
              <w:tab/>
            </w:r>
            <w:r>
              <w:rPr>
                <w:rFonts w:hint="default" w:eastAsia="等线"/>
              </w:rPr>
              <w:t>shall apply all requirements for the supported power class and set the configured transmitted power as specified in clause 6.2</w:t>
            </w:r>
            <w:r>
              <w:rPr>
                <w:rFonts w:hint="eastAsia"/>
                <w:lang w:eastAsia="zh-CN"/>
              </w:rPr>
              <w:t>A</w:t>
            </w:r>
            <w:r>
              <w:rPr>
                <w:rFonts w:hint="default" w:eastAsia="等线"/>
              </w:rPr>
              <w:t>.4.1.3</w:t>
            </w:r>
            <w:r>
              <w:rPr>
                <w:rFonts w:hint="eastAsia" w:eastAsia="等线"/>
                <w:lang w:eastAsia="zh-CN"/>
              </w:rPr>
              <w:t xml:space="preserve"> (r</w:t>
            </w:r>
            <w:r>
              <w:rPr>
                <w:rFonts w:hint="default" w:eastAsia="等线"/>
              </w:rPr>
              <w:t>egardless of the average percentage of uplink symbols</w:t>
            </w:r>
            <w:r>
              <w:rPr>
                <w:rFonts w:hint="eastAsia" w:eastAsia="等线"/>
                <w:lang w:eastAsia="zh-CN"/>
              </w:rPr>
              <w:t xml:space="preserve"> if </w:t>
            </w:r>
            <w:r>
              <w:rPr>
                <w:rFonts w:hint="default" w:eastAsia="等线"/>
              </w:rPr>
              <w:t xml:space="preserve">the field of UE capability </w:t>
            </w:r>
            <w:r>
              <w:rPr>
                <w:rFonts w:hint="default" w:eastAsia="等线"/>
                <w:i/>
              </w:rPr>
              <w:t>maxUplinkDutyCycle-</w:t>
            </w:r>
            <w:r>
              <w:rPr>
                <w:rFonts w:hint="eastAsia" w:eastAsia="等线"/>
                <w:i/>
                <w:lang w:eastAsia="zh-CN"/>
              </w:rPr>
              <w:t>interBand</w:t>
            </w:r>
            <w:r>
              <w:rPr>
                <w:rFonts w:hint="default" w:eastAsia="等线"/>
                <w:i/>
              </w:rPr>
              <w:t>CA-PC2</w:t>
            </w:r>
            <w:r>
              <w:rPr>
                <w:rFonts w:hint="default" w:eastAsia="等线"/>
              </w:rPr>
              <w:t xml:space="preserve"> is absent</w:t>
            </w:r>
            <w:r>
              <w:rPr>
                <w:rFonts w:hint="eastAsia" w:eastAsia="等线"/>
                <w:lang w:eastAsia="zh-CN"/>
              </w:rPr>
              <w:t>)</w:t>
            </w:r>
            <w:r>
              <w:rPr>
                <w:rFonts w:hint="default" w:eastAsia="等线"/>
              </w:rPr>
              <w:t>.</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0" w:right="0"/>
              <w:textAlignment w:val="baseline"/>
              <w:rPr>
                <w:rFonts w:hint="default"/>
              </w:rPr>
            </w:pPr>
            <w:r>
              <w:rPr>
                <w:rFonts w:hint="default"/>
              </w:rPr>
              <w:t>T</w:t>
            </w:r>
            <w:r>
              <w:rPr>
                <w:rFonts w:hint="eastAsia"/>
              </w:rPr>
              <w:t xml:space="preserve">he </w:t>
            </w:r>
            <w:r>
              <w:rPr>
                <w:rFonts w:hint="default"/>
              </w:rPr>
              <w:t>average percentage of uplink symbols</w:t>
            </w:r>
            <w:r>
              <w:rPr>
                <w:rFonts w:hint="eastAsia"/>
              </w:rPr>
              <w:t xml:space="preserve"> is defined as </w:t>
            </w:r>
            <w:r>
              <w:rPr>
                <w:rFonts w:hint="default"/>
                <w:szCs w:val="21"/>
              </w:rPr>
              <w:t>50%</w:t>
            </w:r>
            <w:r>
              <w:rPr>
                <w:rFonts w:hint="default"/>
                <w:iCs/>
                <w:szCs w:val="21"/>
              </w:rPr>
              <w:t xml:space="preserve"> </w:t>
            </w:r>
            <w:r>
              <w:rPr>
                <w:rFonts w:hint="default"/>
                <w:iCs/>
                <w:szCs w:val="21"/>
              </w:rPr>
              <w:sym w:font="Symbol" w:char="F0B4"/>
            </w:r>
            <w:r>
              <w:rPr>
                <w:rFonts w:hint="default"/>
                <w:iCs/>
                <w:szCs w:val="21"/>
              </w:rPr>
              <w:t xml:space="preserve"> </w:t>
            </w:r>
            <w:r>
              <w:rPr>
                <w:rFonts w:hint="default" w:ascii="Arial" w:hAnsi="Arial" w:cs="Arial"/>
                <w:iCs/>
                <w:szCs w:val="21"/>
              </w:rPr>
              <w:t>(</w:t>
            </w:r>
            <w:r>
              <w:rPr>
                <w:rFonts w:hint="default"/>
                <w:szCs w:val="21"/>
              </w:rPr>
              <w:t>Duty</w:t>
            </w:r>
            <w:r>
              <w:rPr>
                <w:rFonts w:hint="default"/>
                <w:szCs w:val="21"/>
                <w:vertAlign w:val="subscript"/>
              </w:rPr>
              <w:t>NR, x</w:t>
            </w:r>
            <w:r>
              <w:rPr>
                <w:rFonts w:hint="default"/>
                <w:szCs w:val="21"/>
              </w:rPr>
              <w:t xml:space="preserve"> /maxDuty</w:t>
            </w:r>
            <w:r>
              <w:rPr>
                <w:rFonts w:hint="default"/>
                <w:szCs w:val="21"/>
                <w:vertAlign w:val="subscript"/>
              </w:rPr>
              <w:t>NR,x</w:t>
            </w:r>
            <w:r>
              <w:rPr>
                <w:rFonts w:hint="default"/>
                <w:szCs w:val="21"/>
              </w:rPr>
              <w:t xml:space="preserve"> + Duty</w:t>
            </w:r>
            <w:r>
              <w:rPr>
                <w:rFonts w:hint="default"/>
                <w:szCs w:val="21"/>
                <w:vertAlign w:val="subscript"/>
              </w:rPr>
              <w:t>NR, y</w:t>
            </w:r>
            <w:r>
              <w:rPr>
                <w:rFonts w:hint="default"/>
                <w:szCs w:val="21"/>
              </w:rPr>
              <w:t xml:space="preserve"> /</w:t>
            </w:r>
            <w:r>
              <w:rPr>
                <w:rFonts w:hint="eastAsia"/>
                <w:szCs w:val="21"/>
              </w:rPr>
              <w:t>max</w:t>
            </w:r>
            <w:r>
              <w:rPr>
                <w:rFonts w:hint="default"/>
                <w:szCs w:val="21"/>
              </w:rPr>
              <w:t>Duty</w:t>
            </w:r>
            <w:r>
              <w:rPr>
                <w:rFonts w:hint="default"/>
                <w:szCs w:val="21"/>
                <w:vertAlign w:val="subscript"/>
              </w:rPr>
              <w:t>NR,y,</w:t>
            </w:r>
            <w:r>
              <w:rPr>
                <w:rFonts w:hint="default"/>
                <w:szCs w:val="21"/>
              </w:rPr>
              <w:t xml:space="preserve"> )</w:t>
            </w:r>
            <w:r>
              <w:rPr>
                <w:rFonts w:hint="eastAsia"/>
                <w:szCs w:val="21"/>
              </w:rPr>
              <w:t xml:space="preserve">. </w:t>
            </w:r>
            <w:r>
              <w:rPr>
                <w:rFonts w:hint="default"/>
              </w:rPr>
              <w:t>Duty</w:t>
            </w:r>
            <w:r>
              <w:rPr>
                <w:rFonts w:hint="eastAsia"/>
                <w:vertAlign w:val="subscript"/>
              </w:rPr>
              <w:t>NR, x</w:t>
            </w:r>
            <w:r>
              <w:rPr>
                <w:rFonts w:hint="default"/>
              </w:rPr>
              <w:t>, Duty</w:t>
            </w:r>
            <w:r>
              <w:rPr>
                <w:rFonts w:hint="default"/>
                <w:vertAlign w:val="subscript"/>
              </w:rPr>
              <w:t>NR</w:t>
            </w:r>
            <w:r>
              <w:rPr>
                <w:rFonts w:hint="eastAsia"/>
                <w:vertAlign w:val="subscript"/>
              </w:rPr>
              <w:t>, y</w:t>
            </w:r>
            <w:r>
              <w:rPr>
                <w:rFonts w:hint="default"/>
              </w:rPr>
              <w:t xml:space="preserve"> represent the </w:t>
            </w:r>
            <w:r>
              <w:rPr>
                <w:rFonts w:hint="eastAsia"/>
              </w:rPr>
              <w:t>actual</w:t>
            </w:r>
            <w:r>
              <w:rPr>
                <w:rFonts w:hint="default"/>
              </w:rPr>
              <w:t xml:space="preserve"> percentage of</w:t>
            </w:r>
            <w:r>
              <w:rPr>
                <w:rFonts w:hint="eastAsia"/>
              </w:rPr>
              <w:t xml:space="preserve"> </w:t>
            </w:r>
            <w:r>
              <w:rPr>
                <w:rFonts w:hint="default"/>
              </w:rPr>
              <w:t xml:space="preserve">uplink symbols transmitted in </w:t>
            </w:r>
            <w:r>
              <w:rPr>
                <w:rFonts w:hint="eastAsia"/>
              </w:rPr>
              <w:t>the</w:t>
            </w:r>
            <w:r>
              <w:rPr>
                <w:rFonts w:hint="default"/>
              </w:rPr>
              <w:t xml:space="preserve"> </w:t>
            </w:r>
            <w:r>
              <w:rPr>
                <w:rFonts w:hint="eastAsia"/>
              </w:rPr>
              <w:t xml:space="preserve">same </w:t>
            </w:r>
            <w:r>
              <w:rPr>
                <w:rFonts w:hint="default"/>
              </w:rPr>
              <w:t>evaluation period</w:t>
            </w:r>
            <w:r>
              <w:rPr>
                <w:rFonts w:hint="eastAsia"/>
              </w:rPr>
              <w:t xml:space="preserve"> </w:t>
            </w:r>
            <w:r>
              <w:rPr>
                <w:rFonts w:hint="default"/>
              </w:rPr>
              <w:t>(The exact evaluation period is no less than one radio frame)</w:t>
            </w:r>
            <w:r>
              <w:rPr>
                <w:rFonts w:hint="eastAsia"/>
              </w:rPr>
              <w:t xml:space="preserve"> for NR Band x</w:t>
            </w:r>
            <w:r>
              <w:rPr>
                <w:rFonts w:hint="default"/>
              </w:rPr>
              <w:t xml:space="preserve">, NR </w:t>
            </w:r>
            <w:r>
              <w:rPr>
                <w:rFonts w:hint="eastAsia"/>
              </w:rPr>
              <w:t xml:space="preserve">Band y </w:t>
            </w:r>
            <w:r>
              <w:rPr>
                <w:rFonts w:hint="default"/>
              </w:rPr>
              <w:t>respectively</w:t>
            </w:r>
            <w:r>
              <w:rPr>
                <w:rFonts w:hint="eastAsia"/>
              </w:rPr>
              <w:t>; . max</w:t>
            </w:r>
            <w:r>
              <w:rPr>
                <w:rFonts w:hint="default"/>
                <w:szCs w:val="21"/>
              </w:rPr>
              <w:t>Duty</w:t>
            </w:r>
            <w:r>
              <w:rPr>
                <w:rFonts w:hint="default"/>
                <w:szCs w:val="21"/>
                <w:vertAlign w:val="subscript"/>
              </w:rPr>
              <w:t>NR,x</w:t>
            </w:r>
            <w:r>
              <w:rPr>
                <w:rFonts w:hint="eastAsia"/>
                <w:szCs w:val="21"/>
              </w:rPr>
              <w:t>,</w:t>
            </w:r>
            <w:r>
              <w:rPr>
                <w:rFonts w:hint="eastAsia"/>
                <w:szCs w:val="21"/>
                <w:vertAlign w:val="subscript"/>
              </w:rPr>
              <w:t xml:space="preserve"> </w:t>
            </w:r>
            <w:r>
              <w:rPr>
                <w:rFonts w:hint="eastAsia"/>
                <w:szCs w:val="21"/>
              </w:rPr>
              <w:t>max</w:t>
            </w:r>
            <w:r>
              <w:rPr>
                <w:rFonts w:hint="default"/>
                <w:szCs w:val="21"/>
              </w:rPr>
              <w:t>Duty</w:t>
            </w:r>
            <w:r>
              <w:rPr>
                <w:rFonts w:hint="default"/>
                <w:szCs w:val="21"/>
                <w:vertAlign w:val="subscript"/>
              </w:rPr>
              <w:t>NR,</w:t>
            </w:r>
            <w:r>
              <w:rPr>
                <w:rFonts w:hint="eastAsia"/>
                <w:szCs w:val="21"/>
                <w:vertAlign w:val="subscript"/>
              </w:rPr>
              <w:t xml:space="preserve">y </w:t>
            </w:r>
            <w:r>
              <w:rPr>
                <w:rFonts w:hint="default"/>
              </w:rPr>
              <w:t>represent</w:t>
            </w:r>
            <w:r>
              <w:rPr>
                <w:rFonts w:hint="eastAsia"/>
              </w:rPr>
              <w:t xml:space="preserve"> the field of UE capability</w:t>
            </w:r>
            <w:r>
              <w:rPr>
                <w:rFonts w:hint="default"/>
                <w:i/>
              </w:rPr>
              <w:t xml:space="preserve"> maxUplinkDutyCycle-PC2-FR1</w:t>
            </w:r>
            <w:r>
              <w:rPr>
                <w:rFonts w:hint="default"/>
                <w:color w:val="C00000"/>
              </w:rPr>
              <w:t xml:space="preserve"> </w:t>
            </w:r>
            <w:r>
              <w:rPr>
                <w:rFonts w:hint="eastAsia"/>
              </w:rPr>
              <w:t xml:space="preserve">per band </w:t>
            </w:r>
            <w:r>
              <w:rPr>
                <w:rFonts w:hint="default"/>
              </w:rPr>
              <w:t>as defined in TS 38.306</w:t>
            </w:r>
            <w:r>
              <w:rPr>
                <w:rFonts w:hint="eastAsia"/>
              </w:rPr>
              <w:t xml:space="preserve">. For NR Band x or NR Band y, </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rPr>
            </w:pPr>
            <w:r>
              <w:rPr>
                <w:rFonts w:hint="default"/>
              </w:rPr>
              <w:t>–</w:t>
            </w:r>
            <w:r>
              <w:rPr>
                <w:rFonts w:hint="default"/>
              </w:rPr>
              <w:tab/>
            </w:r>
            <w:r>
              <w:rPr>
                <w:rFonts w:hint="eastAsia"/>
              </w:rPr>
              <w:t xml:space="preserve">if </w:t>
            </w:r>
            <w:r>
              <w:rPr>
                <w:rFonts w:hint="default"/>
              </w:rPr>
              <w:t xml:space="preserve">power class of one or both of </w:t>
            </w:r>
            <w:r>
              <w:rPr>
                <w:rFonts w:hint="eastAsia"/>
              </w:rPr>
              <w:t>the band</w:t>
            </w:r>
            <w:r>
              <w:rPr>
                <w:rFonts w:hint="default"/>
              </w:rPr>
              <w:t xml:space="preserve">s within the band combination is </w:t>
            </w:r>
            <w:r>
              <w:rPr>
                <w:rFonts w:hint="eastAsia"/>
              </w:rPr>
              <w:t>power class 2 and the corresponding UE capability</w:t>
            </w:r>
            <w:r>
              <w:rPr>
                <w:rFonts w:hint="default"/>
              </w:rPr>
              <w:t xml:space="preserve"> maxUplinkDutyCycle-PC2-FR1 </w:t>
            </w:r>
            <w:r>
              <w:rPr>
                <w:rFonts w:hint="eastAsia"/>
              </w:rPr>
              <w:t>is absent;</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rPr>
            </w:pPr>
            <w:r>
              <w:rPr>
                <w:rFonts w:hint="default"/>
              </w:rPr>
              <w:t>–</w:t>
            </w:r>
            <w:r>
              <w:rPr>
                <w:rFonts w:hint="default"/>
              </w:rPr>
              <w:tab/>
            </w:r>
            <w:r>
              <w:rPr>
                <w:rFonts w:hint="eastAsia"/>
              </w:rPr>
              <w:t>the corresponding maxDuty</w:t>
            </w:r>
            <w:r>
              <w:rPr>
                <w:rFonts w:hint="default"/>
              </w:rPr>
              <w:t xml:space="preserve">NR,x </w:t>
            </w:r>
            <w:r>
              <w:rPr>
                <w:rFonts w:hint="eastAsia"/>
              </w:rPr>
              <w:t>or maxDuty</w:t>
            </w:r>
            <w:r>
              <w:rPr>
                <w:rFonts w:hint="default"/>
              </w:rPr>
              <w:t xml:space="preserve">NR,y </w:t>
            </w:r>
            <w:r>
              <w:rPr>
                <w:rFonts w:hint="eastAsia"/>
              </w:rPr>
              <w:t>is equal to 50%;</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rPr>
            </w:pPr>
            <w:r>
              <w:rPr>
                <w:rFonts w:hint="default"/>
              </w:rPr>
              <w:t>–</w:t>
            </w:r>
            <w:r>
              <w:rPr>
                <w:rFonts w:hint="default"/>
              </w:rPr>
              <w:tab/>
            </w:r>
            <w:r>
              <w:rPr>
                <w:rFonts w:hint="eastAsia"/>
                <w:lang w:eastAsia="zh-CN"/>
              </w:rPr>
              <w:t>else if the band is configured with power class 3;</w:t>
            </w:r>
          </w:p>
          <w:p>
            <w:pPr>
              <w:pStyle w:val="51"/>
              <w:keepNext/>
              <w:keepLines/>
              <w:pageBreakBefore w:val="0"/>
              <w:widowControl/>
              <w:suppressLineNumbers w:val="0"/>
              <w:kinsoku/>
              <w:wordWrap/>
              <w:overflowPunct w:val="0"/>
              <w:topLinePunct w:val="0"/>
              <w:autoSpaceDE w:val="0"/>
              <w:autoSpaceDN w:val="0"/>
              <w:bidi w:val="0"/>
              <w:adjustRightInd w:val="0"/>
              <w:snapToGrid w:val="0"/>
              <w:spacing w:before="120" w:beforeAutospacing="0" w:after="120" w:afterAutospacing="0" w:line="280" w:lineRule="atLeast"/>
              <w:ind w:right="0"/>
              <w:textAlignment w:val="baseline"/>
              <w:rPr>
                <w:rFonts w:hint="default"/>
              </w:rPr>
            </w:pPr>
            <w:r>
              <w:rPr>
                <w:rFonts w:hint="default"/>
              </w:rPr>
              <w:t>–</w:t>
            </w:r>
            <w:r>
              <w:rPr>
                <w:rFonts w:hint="default"/>
              </w:rPr>
              <w:tab/>
            </w:r>
            <w:r>
              <w:rPr>
                <w:rFonts w:hint="default"/>
              </w:rPr>
              <w:t>the corresponding maxDutyNR,x or maxDutyNR,y is equal to 100%.</w:t>
            </w:r>
          </w:p>
          <w:p>
            <w:pPr>
              <w:keepNext/>
              <w:keepLines/>
              <w:pageBreakBefore w:val="0"/>
              <w:widowControl/>
              <w:kinsoku/>
              <w:wordWrap/>
              <w:overflowPunct w:val="0"/>
              <w:topLinePunct w:val="0"/>
              <w:autoSpaceDE w:val="0"/>
              <w:autoSpaceDN w:val="0"/>
              <w:bidi w:val="0"/>
              <w:adjustRightInd w:val="0"/>
              <w:spacing w:after="180"/>
              <w:textAlignment w:val="baseline"/>
              <w:rPr>
                <w:rFonts w:hint="default"/>
                <w:color w:val="0000FF"/>
              </w:rPr>
            </w:pPr>
            <w:r>
              <w:rPr>
                <w:color w:val="0000FF"/>
              </w:rPr>
              <w:t xml:space="preserve">If a UE supports power class </w:t>
            </w:r>
            <w:r>
              <w:rPr>
                <w:rFonts w:hint="eastAsia"/>
                <w:color w:val="0000FF"/>
                <w:lang w:val="en-US" w:eastAsia="zh-CN"/>
              </w:rPr>
              <w:t>1.5</w:t>
            </w:r>
            <w:r>
              <w:rPr>
                <w:color w:val="0000FF"/>
              </w:rPr>
              <w:t xml:space="preserve"> for the band</w:t>
            </w:r>
            <w:r>
              <w:rPr>
                <w:rFonts w:hint="eastAsia"/>
                <w:color w:val="0000FF"/>
                <w:lang w:eastAsia="zh-CN"/>
              </w:rPr>
              <w:t xml:space="preserve"> combination listed in </w:t>
            </w:r>
            <w:r>
              <w:rPr>
                <w:color w:val="0000FF"/>
              </w:rPr>
              <w:t>Table 6.2</w:t>
            </w:r>
            <w:r>
              <w:rPr>
                <w:rFonts w:hint="eastAsia"/>
                <w:color w:val="0000FF"/>
                <w:lang w:val="en-US" w:eastAsia="zh-CN"/>
              </w:rPr>
              <w:t>A1.3-1</w:t>
            </w:r>
            <w:r>
              <w:rPr>
                <w:color w:val="0000FF"/>
              </w:rPr>
              <w:t>:</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eastAsia="等线"/>
                <w:color w:val="0000FF"/>
              </w:rPr>
            </w:pPr>
            <w:r>
              <w:rPr>
                <w:rFonts w:hint="default" w:eastAsia="等线"/>
                <w:color w:val="0000FF"/>
              </w:rPr>
              <w:t>–</w:t>
            </w:r>
            <w:r>
              <w:rPr>
                <w:rFonts w:hint="default" w:eastAsia="等线"/>
                <w:color w:val="0000FF"/>
              </w:rPr>
              <w:tab/>
            </w:r>
            <w:r>
              <w:rPr>
                <w:rFonts w:hint="default" w:eastAsia="等线"/>
                <w:color w:val="0000FF"/>
              </w:rPr>
              <w:t xml:space="preserve">if the field of UE capability </w:t>
            </w:r>
            <w:r>
              <w:rPr>
                <w:rFonts w:hint="default" w:eastAsia="等线"/>
                <w:i/>
                <w:color w:val="0000FF"/>
              </w:rPr>
              <w:t>maxUplinkDutyCycle-interBandCA-PC2</w:t>
            </w:r>
            <w:r>
              <w:rPr>
                <w:rFonts w:hint="default" w:eastAsia="等线"/>
                <w:color w:val="0000FF"/>
              </w:rPr>
              <w:t xml:space="preserve"> is not absent and the average percentage of uplink symbols transmitted in a certain evaluation period is larger than </w:t>
            </w:r>
            <w:r>
              <w:rPr>
                <w:rFonts w:hint="default" w:eastAsia="等线"/>
                <w:i/>
                <w:color w:val="0000FF"/>
              </w:rPr>
              <w:t>maxUplinkDutyCycle-interBandCA-PC2</w:t>
            </w:r>
            <w:r>
              <w:rPr>
                <w:rFonts w:hint="default" w:eastAsia="等线"/>
                <w:color w:val="0000FF"/>
              </w:rPr>
              <w:t xml:space="preserve"> as defined in TS 38.306 (The exact evaluation period is no less than one radio frame); or</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color w:val="0000FF"/>
                <w:lang w:bidi="bn-IN"/>
              </w:rPr>
            </w:pPr>
            <w:r>
              <w:rPr>
                <w:rFonts w:hint="default" w:eastAsia="等线"/>
                <w:color w:val="0000FF"/>
              </w:rPr>
              <w:t>–</w:t>
            </w:r>
            <w:r>
              <w:rPr>
                <w:rFonts w:hint="default" w:eastAsia="等线"/>
                <w:color w:val="0000FF"/>
              </w:rPr>
              <w:tab/>
            </w:r>
            <w:r>
              <w:rPr>
                <w:rFonts w:hint="default"/>
                <w:color w:val="0000FF"/>
              </w:rPr>
              <w:t xml:space="preserve"> if </w:t>
            </w:r>
            <w:r>
              <w:rPr>
                <w:rFonts w:hint="default" w:cs="Vrinda"/>
                <w:color w:val="0000FF"/>
                <w:lang w:bidi="bn-IN"/>
              </w:rPr>
              <w:t>10 log</w:t>
            </w:r>
            <w:r>
              <w:rPr>
                <w:rFonts w:hint="default" w:cs="Vrinda"/>
                <w:color w:val="0000FF"/>
                <w:vertAlign w:val="subscript"/>
                <w:lang w:bidi="bn-IN"/>
              </w:rPr>
              <w:t>10</w:t>
            </w:r>
            <w:r>
              <w:rPr>
                <w:rFonts w:hint="default" w:cs="Vrinda"/>
                <w:color w:val="0000FF"/>
                <w:lang w:bidi="bn-IN"/>
              </w:rPr>
              <w:t xml:space="preserve"> </w:t>
            </w:r>
            <w:r>
              <w:rPr>
                <w:rFonts w:hint="default"/>
                <w:color w:val="0000FF"/>
              </w:rPr>
              <w:t xml:space="preserve">∑ </w:t>
            </w:r>
            <w:r>
              <w:rPr>
                <w:rFonts w:hint="default" w:cs="Vrinda"/>
                <w:color w:val="0000FF"/>
                <w:lang w:bidi="bn-IN"/>
              </w:rPr>
              <w:t>p</w:t>
            </w:r>
            <w:r>
              <w:rPr>
                <w:rFonts w:hint="default" w:cs="Vrinda"/>
                <w:color w:val="0000FF"/>
                <w:vertAlign w:val="subscript"/>
                <w:lang w:bidi="bn-IN"/>
              </w:rPr>
              <w:t>EMAX,c</w:t>
            </w:r>
            <w:r>
              <w:rPr>
                <w:rFonts w:hint="default"/>
                <w:color w:val="0000FF"/>
              </w:rPr>
              <w:t xml:space="preserve"> or </w:t>
            </w:r>
            <w:r>
              <w:rPr>
                <w:rFonts w:hint="default"/>
                <w:color w:val="0000FF"/>
                <w:lang w:bidi="bn-IN"/>
              </w:rPr>
              <w:t>P</w:t>
            </w:r>
            <w:r>
              <w:rPr>
                <w:rFonts w:hint="default"/>
                <w:color w:val="0000FF"/>
                <w:vertAlign w:val="subscript"/>
                <w:lang w:bidi="bn-IN"/>
              </w:rPr>
              <w:t>EMAX,CA</w:t>
            </w:r>
            <w:r>
              <w:rPr>
                <w:rFonts w:hint="default"/>
                <w:color w:val="0000FF"/>
              </w:rPr>
              <w:t xml:space="preserve"> which defined in clause 6.2A.4.1.3 is 23dBm or lower;</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1050" w:leftChars="300" w:right="0" w:hanging="420" w:hangingChars="200"/>
              <w:textAlignment w:val="baseline"/>
              <w:rPr>
                <w:rFonts w:hint="default" w:eastAsia="等线"/>
                <w:color w:val="0000FF"/>
              </w:rPr>
            </w:pPr>
            <w:r>
              <w:rPr>
                <w:rFonts w:hint="default" w:eastAsia="等线"/>
                <w:color w:val="0000FF"/>
              </w:rPr>
              <w:t>–</w:t>
            </w:r>
            <w:r>
              <w:rPr>
                <w:rFonts w:hint="default" w:eastAsia="等线"/>
                <w:color w:val="0000FF"/>
              </w:rPr>
              <w:tab/>
            </w:r>
            <w:r>
              <w:rPr>
                <w:rFonts w:hint="default" w:eastAsia="等线"/>
                <w:color w:val="0000FF"/>
              </w:rPr>
              <w:t>shall apply all requirements for the default power class to the supported power class and set the configured transmitted power as specified in clause 6.2</w:t>
            </w:r>
            <w:r>
              <w:rPr>
                <w:rFonts w:hint="eastAsia" w:eastAsia="等线"/>
                <w:color w:val="0000FF"/>
                <w:lang w:eastAsia="zh-CN"/>
              </w:rPr>
              <w:t>A</w:t>
            </w:r>
            <w:r>
              <w:rPr>
                <w:rFonts w:hint="default" w:eastAsia="等线"/>
                <w:color w:val="0000FF"/>
              </w:rPr>
              <w:t>.4.1.3;</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eastAsia="等线"/>
                <w:color w:val="0000FF"/>
              </w:rPr>
            </w:pPr>
            <w:r>
              <w:rPr>
                <w:rFonts w:hint="default" w:eastAsia="等线"/>
                <w:color w:val="0000FF"/>
              </w:rPr>
              <w:t>–</w:t>
            </w:r>
            <w:r>
              <w:rPr>
                <w:rFonts w:hint="default" w:eastAsia="等线"/>
                <w:color w:val="0000FF"/>
              </w:rPr>
              <w:tab/>
            </w:r>
            <w:r>
              <w:rPr>
                <w:rFonts w:hint="default" w:eastAsia="等线"/>
                <w:color w:val="0000FF"/>
              </w:rPr>
              <w:t xml:space="preserve">if the field of UE capability </w:t>
            </w:r>
            <w:r>
              <w:rPr>
                <w:rFonts w:hint="default" w:eastAsia="等线"/>
                <w:i/>
                <w:color w:val="0000FF"/>
              </w:rPr>
              <w:t>maxUplinkDutyCycle-interBandCA-PC2</w:t>
            </w:r>
            <w:r>
              <w:rPr>
                <w:rFonts w:hint="default" w:eastAsia="等线"/>
                <w:color w:val="0000FF"/>
              </w:rPr>
              <w:t xml:space="preserve"> is not absent and the average percentage of uplink symbols transmitted in a certain evaluation period is larger than 0.5*</w:t>
            </w:r>
            <w:r>
              <w:rPr>
                <w:rFonts w:hint="default" w:eastAsia="等线"/>
                <w:i/>
                <w:color w:val="0000FF"/>
              </w:rPr>
              <w:t>maxUplinkDutyCycle-interBandCA-PC2</w:t>
            </w:r>
            <w:r>
              <w:rPr>
                <w:rFonts w:hint="default" w:eastAsia="等线"/>
                <w:color w:val="0000FF"/>
              </w:rPr>
              <w:t xml:space="preserve"> as defined in TS 38. 306 (The exact evaluation period is no less than one radio frame); or</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568" w:right="0" w:hanging="284"/>
              <w:textAlignment w:val="baseline"/>
              <w:rPr>
                <w:rFonts w:hint="default"/>
                <w:color w:val="0000FF"/>
                <w:lang w:bidi="bn-IN"/>
              </w:rPr>
            </w:pPr>
            <w:r>
              <w:rPr>
                <w:rFonts w:hint="default" w:eastAsia="等线"/>
                <w:color w:val="0000FF"/>
              </w:rPr>
              <w:t>–</w:t>
            </w:r>
            <w:r>
              <w:rPr>
                <w:rFonts w:hint="default" w:eastAsia="等线"/>
                <w:color w:val="0000FF"/>
              </w:rPr>
              <w:tab/>
            </w:r>
            <w:r>
              <w:rPr>
                <w:rFonts w:hint="default"/>
                <w:color w:val="0000FF"/>
              </w:rPr>
              <w:t xml:space="preserve"> if </w:t>
            </w:r>
            <w:r>
              <w:rPr>
                <w:rFonts w:hint="default" w:cs="Vrinda"/>
                <w:color w:val="0000FF"/>
                <w:lang w:bidi="bn-IN"/>
              </w:rPr>
              <w:t>10 log</w:t>
            </w:r>
            <w:r>
              <w:rPr>
                <w:rFonts w:hint="default" w:cs="Vrinda"/>
                <w:color w:val="0000FF"/>
                <w:vertAlign w:val="subscript"/>
                <w:lang w:bidi="bn-IN"/>
              </w:rPr>
              <w:t>10</w:t>
            </w:r>
            <w:r>
              <w:rPr>
                <w:rFonts w:hint="default" w:cs="Vrinda"/>
                <w:color w:val="0000FF"/>
                <w:lang w:bidi="bn-IN"/>
              </w:rPr>
              <w:t xml:space="preserve"> </w:t>
            </w:r>
            <w:r>
              <w:rPr>
                <w:rFonts w:hint="default"/>
                <w:color w:val="0000FF"/>
              </w:rPr>
              <w:t xml:space="preserve">∑ </w:t>
            </w:r>
            <w:r>
              <w:rPr>
                <w:rFonts w:hint="default" w:cs="Vrinda"/>
                <w:color w:val="0000FF"/>
                <w:lang w:bidi="bn-IN"/>
              </w:rPr>
              <w:t>p</w:t>
            </w:r>
            <w:r>
              <w:rPr>
                <w:rFonts w:hint="default" w:cs="Vrinda"/>
                <w:color w:val="0000FF"/>
                <w:vertAlign w:val="subscript"/>
                <w:lang w:bidi="bn-IN"/>
              </w:rPr>
              <w:t>EMAX,c</w:t>
            </w:r>
            <w:r>
              <w:rPr>
                <w:rFonts w:hint="default"/>
                <w:color w:val="0000FF"/>
              </w:rPr>
              <w:t xml:space="preserve"> or </w:t>
            </w:r>
            <w:r>
              <w:rPr>
                <w:rFonts w:hint="default"/>
                <w:color w:val="0000FF"/>
                <w:lang w:bidi="bn-IN"/>
              </w:rPr>
              <w:t>P</w:t>
            </w:r>
            <w:r>
              <w:rPr>
                <w:rFonts w:hint="default"/>
                <w:color w:val="0000FF"/>
                <w:vertAlign w:val="subscript"/>
                <w:lang w:bidi="bn-IN"/>
              </w:rPr>
              <w:t>EMAX,CA</w:t>
            </w:r>
            <w:r>
              <w:rPr>
                <w:rFonts w:hint="default"/>
                <w:color w:val="0000FF"/>
              </w:rPr>
              <w:t xml:space="preserve"> which defined in clause 6.2A.4.1.3 is </w:t>
            </w:r>
            <w:r>
              <w:rPr>
                <w:rFonts w:hint="eastAsia"/>
                <w:color w:val="0000FF"/>
                <w:lang w:val="en-US" w:eastAsia="zh-CN"/>
              </w:rPr>
              <w:t xml:space="preserve">between 23dBm and </w:t>
            </w:r>
            <w:r>
              <w:rPr>
                <w:rFonts w:hint="default"/>
                <w:color w:val="0000FF"/>
              </w:rPr>
              <w:t>26dBm;</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1050" w:leftChars="300" w:right="0" w:hanging="420" w:hangingChars="200"/>
              <w:textAlignment w:val="baseline"/>
              <w:rPr>
                <w:rFonts w:hint="default"/>
                <w:color w:val="0000FF"/>
                <w:lang w:eastAsia="zh-CN"/>
              </w:rPr>
            </w:pPr>
            <w:r>
              <w:rPr>
                <w:rFonts w:hint="default" w:eastAsia="等线"/>
                <w:color w:val="0000FF"/>
              </w:rPr>
              <w:t>–</w:t>
            </w:r>
            <w:r>
              <w:rPr>
                <w:rFonts w:hint="default" w:eastAsia="等线"/>
                <w:color w:val="0000FF"/>
              </w:rPr>
              <w:tab/>
            </w:r>
            <w:r>
              <w:rPr>
                <w:rFonts w:hint="default" w:eastAsia="等线"/>
                <w:color w:val="0000FF"/>
              </w:rPr>
              <w:t>shall apply all requirements for the power class 2 to the supported power class and set the configured transmitted power as specified in clause 6.2</w:t>
            </w:r>
            <w:r>
              <w:rPr>
                <w:rFonts w:hint="eastAsia" w:eastAsia="等线"/>
                <w:color w:val="0000FF"/>
                <w:lang w:eastAsia="zh-CN"/>
              </w:rPr>
              <w:t>A</w:t>
            </w:r>
            <w:r>
              <w:rPr>
                <w:rFonts w:hint="default" w:eastAsia="等线"/>
                <w:color w:val="0000FF"/>
              </w:rPr>
              <w:t>.4.1.3;</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color w:val="0000FF"/>
                <w:lang w:eastAsia="zh-CN"/>
              </w:rPr>
            </w:pPr>
            <w:r>
              <w:rPr>
                <w:rFonts w:hint="default"/>
                <w:color w:val="0000FF"/>
              </w:rPr>
              <w:t>–</w:t>
            </w:r>
            <w:r>
              <w:rPr>
                <w:rFonts w:hint="default"/>
                <w:color w:val="0000FF"/>
              </w:rPr>
              <w:tab/>
            </w:r>
            <w:r>
              <w:rPr>
                <w:rFonts w:hint="eastAsia"/>
                <w:color w:val="0000FF"/>
                <w:lang w:eastAsia="zh-CN"/>
              </w:rPr>
              <w:t>else;</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1050" w:leftChars="300" w:right="0" w:hanging="420" w:hangingChars="200"/>
              <w:textAlignment w:val="baseline"/>
              <w:rPr>
                <w:rFonts w:hint="default"/>
                <w:color w:val="0000FF"/>
                <w:lang w:eastAsia="zh-CN"/>
              </w:rPr>
            </w:pPr>
            <w:r>
              <w:rPr>
                <w:rFonts w:hint="default" w:eastAsia="等线"/>
                <w:color w:val="0000FF"/>
              </w:rPr>
              <w:t>–</w:t>
            </w:r>
            <w:r>
              <w:rPr>
                <w:rFonts w:hint="default" w:eastAsia="等线"/>
                <w:color w:val="0000FF"/>
              </w:rPr>
              <w:tab/>
            </w:r>
            <w:r>
              <w:rPr>
                <w:rFonts w:hint="default" w:eastAsia="等线"/>
                <w:color w:val="0000FF"/>
              </w:rPr>
              <w:t>shall apply all requirements for the supported power class</w:t>
            </w:r>
            <w:r>
              <w:rPr>
                <w:rFonts w:hint="eastAsia" w:eastAsia="等线"/>
                <w:color w:val="0000FF"/>
                <w:lang w:val="en-US" w:eastAsia="zh-CN"/>
              </w:rPr>
              <w:t xml:space="preserve"> 1.5</w:t>
            </w:r>
            <w:r>
              <w:rPr>
                <w:rFonts w:hint="default" w:eastAsia="等线"/>
                <w:color w:val="0000FF"/>
              </w:rPr>
              <w:t xml:space="preserve"> and set the configured transmitted power as specified in clause 6.2</w:t>
            </w:r>
            <w:r>
              <w:rPr>
                <w:rFonts w:hint="eastAsia"/>
                <w:color w:val="0000FF"/>
                <w:lang w:eastAsia="zh-CN"/>
              </w:rPr>
              <w:t>A</w:t>
            </w:r>
            <w:r>
              <w:rPr>
                <w:rFonts w:hint="default" w:eastAsia="等线"/>
                <w:color w:val="0000FF"/>
              </w:rPr>
              <w:t>.4.1.3</w:t>
            </w:r>
            <w:r>
              <w:rPr>
                <w:rFonts w:hint="eastAsia" w:eastAsia="等线"/>
                <w:color w:val="0000FF"/>
                <w:lang w:eastAsia="zh-CN"/>
              </w:rPr>
              <w:t xml:space="preserve"> (r</w:t>
            </w:r>
            <w:r>
              <w:rPr>
                <w:rFonts w:hint="default" w:eastAsia="等线"/>
                <w:color w:val="0000FF"/>
              </w:rPr>
              <w:t>egardless of the average percentage of uplink symbols</w:t>
            </w:r>
            <w:r>
              <w:rPr>
                <w:rFonts w:hint="eastAsia" w:eastAsia="等线"/>
                <w:color w:val="0000FF"/>
                <w:lang w:eastAsia="zh-CN"/>
              </w:rPr>
              <w:t xml:space="preserve"> if </w:t>
            </w:r>
            <w:r>
              <w:rPr>
                <w:rFonts w:hint="default" w:eastAsia="等线"/>
                <w:color w:val="0000FF"/>
              </w:rPr>
              <w:t xml:space="preserve">the field of UE capability </w:t>
            </w:r>
            <w:r>
              <w:rPr>
                <w:rFonts w:hint="default" w:eastAsia="等线"/>
                <w:i/>
                <w:color w:val="0000FF"/>
              </w:rPr>
              <w:t>maxUplinkDutyCycle-</w:t>
            </w:r>
            <w:r>
              <w:rPr>
                <w:rFonts w:hint="eastAsia" w:eastAsia="等线"/>
                <w:i/>
                <w:color w:val="0000FF"/>
                <w:lang w:eastAsia="zh-CN"/>
              </w:rPr>
              <w:t>interBand</w:t>
            </w:r>
            <w:r>
              <w:rPr>
                <w:rFonts w:hint="default" w:eastAsia="等线"/>
                <w:i/>
                <w:color w:val="0000FF"/>
              </w:rPr>
              <w:t>CA-PC2</w:t>
            </w:r>
            <w:r>
              <w:rPr>
                <w:rFonts w:hint="default" w:eastAsia="等线"/>
                <w:color w:val="0000FF"/>
              </w:rPr>
              <w:t xml:space="preserve"> is absent</w:t>
            </w:r>
            <w:r>
              <w:rPr>
                <w:rFonts w:hint="eastAsia" w:eastAsia="等线"/>
                <w:color w:val="0000FF"/>
                <w:lang w:eastAsia="zh-CN"/>
              </w:rPr>
              <w:t>)</w:t>
            </w:r>
            <w:r>
              <w:rPr>
                <w:rFonts w:hint="default" w:eastAsia="等线"/>
                <w:color w:val="0000FF"/>
              </w:rPr>
              <w:t>.</w:t>
            </w:r>
          </w:p>
          <w:p>
            <w:pPr>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left="0" w:right="0"/>
              <w:textAlignment w:val="baseline"/>
              <w:rPr>
                <w:rFonts w:hint="default"/>
                <w:color w:val="0000FF"/>
              </w:rPr>
            </w:pPr>
            <w:r>
              <w:rPr>
                <w:rFonts w:hint="default"/>
                <w:color w:val="0000FF"/>
              </w:rPr>
              <w:t>T</w:t>
            </w:r>
            <w:r>
              <w:rPr>
                <w:rFonts w:hint="eastAsia"/>
                <w:color w:val="0000FF"/>
              </w:rPr>
              <w:t xml:space="preserve">he </w:t>
            </w:r>
            <w:r>
              <w:rPr>
                <w:rFonts w:hint="default"/>
                <w:color w:val="0000FF"/>
              </w:rPr>
              <w:t>average percentage of uplink symbols</w:t>
            </w:r>
            <w:r>
              <w:rPr>
                <w:rFonts w:hint="eastAsia"/>
                <w:color w:val="0000FF"/>
              </w:rPr>
              <w:t xml:space="preserve"> is defined as </w:t>
            </w:r>
            <w:r>
              <w:rPr>
                <w:rFonts w:hint="default"/>
                <w:color w:val="0000FF"/>
                <w:szCs w:val="21"/>
              </w:rPr>
              <w:t>50%</w:t>
            </w:r>
            <w:r>
              <w:rPr>
                <w:rFonts w:hint="default"/>
                <w:iCs/>
                <w:color w:val="0000FF"/>
                <w:szCs w:val="21"/>
              </w:rPr>
              <w:t xml:space="preserve"> </w:t>
            </w:r>
            <w:r>
              <w:rPr>
                <w:rFonts w:hint="default"/>
                <w:iCs/>
                <w:color w:val="0000FF"/>
                <w:szCs w:val="21"/>
              </w:rPr>
              <w:sym w:font="Symbol" w:char="F0B4"/>
            </w:r>
            <w:r>
              <w:rPr>
                <w:rFonts w:hint="default"/>
                <w:iCs/>
                <w:color w:val="0000FF"/>
                <w:szCs w:val="21"/>
              </w:rPr>
              <w:t xml:space="preserve"> </w:t>
            </w:r>
            <w:r>
              <w:rPr>
                <w:rFonts w:hint="default" w:ascii="Arial" w:hAnsi="Arial" w:cs="Arial"/>
                <w:iCs/>
                <w:color w:val="0000FF"/>
                <w:szCs w:val="21"/>
              </w:rPr>
              <w:t>(</w:t>
            </w:r>
            <w:r>
              <w:rPr>
                <w:rFonts w:hint="default"/>
                <w:color w:val="0000FF"/>
                <w:szCs w:val="21"/>
              </w:rPr>
              <w:t>Duty</w:t>
            </w:r>
            <w:r>
              <w:rPr>
                <w:rFonts w:hint="default"/>
                <w:color w:val="0000FF"/>
                <w:szCs w:val="21"/>
                <w:vertAlign w:val="subscript"/>
              </w:rPr>
              <w:t>NR,x</w:t>
            </w:r>
            <w:r>
              <w:rPr>
                <w:rFonts w:hint="default"/>
                <w:color w:val="0000FF"/>
                <w:szCs w:val="21"/>
              </w:rPr>
              <w:t xml:space="preserve"> /maxDuty</w:t>
            </w:r>
            <w:r>
              <w:rPr>
                <w:rFonts w:hint="default"/>
                <w:color w:val="0000FF"/>
                <w:szCs w:val="21"/>
                <w:vertAlign w:val="subscript"/>
              </w:rPr>
              <w:t>NR,x</w:t>
            </w:r>
            <w:r>
              <w:rPr>
                <w:rFonts w:hint="default"/>
                <w:color w:val="0000FF"/>
                <w:szCs w:val="21"/>
              </w:rPr>
              <w:t xml:space="preserve"> + Duty</w:t>
            </w:r>
            <w:r>
              <w:rPr>
                <w:rFonts w:hint="default"/>
                <w:color w:val="0000FF"/>
                <w:szCs w:val="21"/>
                <w:vertAlign w:val="subscript"/>
              </w:rPr>
              <w:t>NR, y</w:t>
            </w:r>
            <w:r>
              <w:rPr>
                <w:rFonts w:hint="default"/>
                <w:color w:val="0000FF"/>
                <w:szCs w:val="21"/>
              </w:rPr>
              <w:t xml:space="preserve"> /</w:t>
            </w:r>
            <w:r>
              <w:rPr>
                <w:rFonts w:hint="eastAsia"/>
                <w:color w:val="0000FF"/>
                <w:szCs w:val="21"/>
              </w:rPr>
              <w:t>max</w:t>
            </w:r>
            <w:r>
              <w:rPr>
                <w:rFonts w:hint="default"/>
                <w:color w:val="0000FF"/>
                <w:szCs w:val="21"/>
              </w:rPr>
              <w:t>Duty</w:t>
            </w:r>
            <w:r>
              <w:rPr>
                <w:rFonts w:hint="default"/>
                <w:color w:val="0000FF"/>
                <w:szCs w:val="21"/>
                <w:vertAlign w:val="subscript"/>
              </w:rPr>
              <w:t>NR,y,</w:t>
            </w:r>
            <w:r>
              <w:rPr>
                <w:rFonts w:hint="default"/>
                <w:color w:val="0000FF"/>
                <w:szCs w:val="21"/>
              </w:rPr>
              <w:t xml:space="preserve"> )</w:t>
            </w:r>
            <w:r>
              <w:rPr>
                <w:rFonts w:hint="eastAsia"/>
                <w:color w:val="0000FF"/>
                <w:szCs w:val="21"/>
              </w:rPr>
              <w:t xml:space="preserve">. </w:t>
            </w:r>
            <w:r>
              <w:rPr>
                <w:rFonts w:hint="default"/>
                <w:color w:val="0000FF"/>
              </w:rPr>
              <w:t>Duty</w:t>
            </w:r>
            <w:r>
              <w:rPr>
                <w:rFonts w:hint="eastAsia"/>
                <w:color w:val="0000FF"/>
                <w:vertAlign w:val="subscript"/>
              </w:rPr>
              <w:t>NR,x</w:t>
            </w:r>
            <w:r>
              <w:rPr>
                <w:rFonts w:hint="default"/>
                <w:color w:val="0000FF"/>
              </w:rPr>
              <w:t>, Duty</w:t>
            </w:r>
            <w:r>
              <w:rPr>
                <w:rFonts w:hint="default"/>
                <w:color w:val="0000FF"/>
                <w:vertAlign w:val="subscript"/>
              </w:rPr>
              <w:t>NR</w:t>
            </w:r>
            <w:r>
              <w:rPr>
                <w:rFonts w:hint="eastAsia"/>
                <w:color w:val="0000FF"/>
                <w:vertAlign w:val="subscript"/>
              </w:rPr>
              <w:t>,y</w:t>
            </w:r>
            <w:r>
              <w:rPr>
                <w:rFonts w:hint="default"/>
                <w:color w:val="0000FF"/>
              </w:rPr>
              <w:t xml:space="preserve"> represent the </w:t>
            </w:r>
            <w:r>
              <w:rPr>
                <w:rFonts w:hint="eastAsia"/>
                <w:color w:val="0000FF"/>
              </w:rPr>
              <w:t>actual</w:t>
            </w:r>
            <w:r>
              <w:rPr>
                <w:rFonts w:hint="default"/>
                <w:color w:val="0000FF"/>
              </w:rPr>
              <w:t xml:space="preserve"> percentage of</w:t>
            </w:r>
            <w:r>
              <w:rPr>
                <w:rFonts w:hint="eastAsia"/>
                <w:color w:val="0000FF"/>
              </w:rPr>
              <w:t xml:space="preserve"> </w:t>
            </w:r>
            <w:r>
              <w:rPr>
                <w:rFonts w:hint="default"/>
                <w:color w:val="0000FF"/>
              </w:rPr>
              <w:t xml:space="preserve">uplink symbols transmitted in </w:t>
            </w:r>
            <w:r>
              <w:rPr>
                <w:rFonts w:hint="eastAsia"/>
                <w:color w:val="0000FF"/>
              </w:rPr>
              <w:t>the</w:t>
            </w:r>
            <w:r>
              <w:rPr>
                <w:rFonts w:hint="default"/>
                <w:color w:val="0000FF"/>
              </w:rPr>
              <w:t xml:space="preserve"> </w:t>
            </w:r>
            <w:r>
              <w:rPr>
                <w:rFonts w:hint="eastAsia"/>
                <w:color w:val="0000FF"/>
              </w:rPr>
              <w:t xml:space="preserve">same </w:t>
            </w:r>
            <w:r>
              <w:rPr>
                <w:rFonts w:hint="default"/>
                <w:color w:val="0000FF"/>
              </w:rPr>
              <w:t>evaluation period</w:t>
            </w:r>
            <w:r>
              <w:rPr>
                <w:rFonts w:hint="eastAsia"/>
                <w:color w:val="0000FF"/>
              </w:rPr>
              <w:t xml:space="preserve"> </w:t>
            </w:r>
            <w:r>
              <w:rPr>
                <w:rFonts w:hint="default"/>
                <w:color w:val="0000FF"/>
              </w:rPr>
              <w:t>(The exact evaluation period is no less than one radio frame)</w:t>
            </w:r>
            <w:r>
              <w:rPr>
                <w:rFonts w:hint="eastAsia"/>
                <w:color w:val="0000FF"/>
              </w:rPr>
              <w:t xml:space="preserve"> for NR Band x</w:t>
            </w:r>
            <w:r>
              <w:rPr>
                <w:rFonts w:hint="default"/>
                <w:color w:val="0000FF"/>
              </w:rPr>
              <w:t xml:space="preserve">, NR </w:t>
            </w:r>
            <w:r>
              <w:rPr>
                <w:rFonts w:hint="eastAsia"/>
                <w:color w:val="0000FF"/>
              </w:rPr>
              <w:t xml:space="preserve">Band y </w:t>
            </w:r>
            <w:r>
              <w:rPr>
                <w:rFonts w:hint="default"/>
                <w:color w:val="0000FF"/>
              </w:rPr>
              <w:t>respectively</w:t>
            </w:r>
            <w:r>
              <w:rPr>
                <w:rFonts w:hint="eastAsia"/>
                <w:color w:val="0000FF"/>
              </w:rPr>
              <w:t>; max</w:t>
            </w:r>
            <w:r>
              <w:rPr>
                <w:rFonts w:hint="default"/>
                <w:color w:val="0000FF"/>
                <w:szCs w:val="21"/>
              </w:rPr>
              <w:t>Duty</w:t>
            </w:r>
            <w:r>
              <w:rPr>
                <w:rFonts w:hint="default"/>
                <w:color w:val="0000FF"/>
                <w:szCs w:val="21"/>
                <w:vertAlign w:val="subscript"/>
              </w:rPr>
              <w:t>NR,x</w:t>
            </w:r>
            <w:r>
              <w:rPr>
                <w:rFonts w:hint="eastAsia"/>
                <w:color w:val="0000FF"/>
                <w:szCs w:val="21"/>
              </w:rPr>
              <w:t>,</w:t>
            </w:r>
            <w:r>
              <w:rPr>
                <w:rFonts w:hint="eastAsia"/>
                <w:color w:val="0000FF"/>
                <w:szCs w:val="21"/>
                <w:vertAlign w:val="subscript"/>
              </w:rPr>
              <w:t xml:space="preserve"> </w:t>
            </w:r>
            <w:r>
              <w:rPr>
                <w:rFonts w:hint="default"/>
                <w:color w:val="0000FF"/>
              </w:rPr>
              <w:t>represent</w:t>
            </w:r>
            <w:r>
              <w:rPr>
                <w:rFonts w:hint="eastAsia"/>
                <w:color w:val="0000FF"/>
              </w:rPr>
              <w:t xml:space="preserve"> the field of UE capability</w:t>
            </w:r>
            <w:r>
              <w:rPr>
                <w:rFonts w:hint="default"/>
                <w:i/>
                <w:color w:val="0000FF"/>
              </w:rPr>
              <w:t xml:space="preserve"> maxUplinkDutyCycle-PC1dot5-MPE-FR1</w:t>
            </w:r>
            <w:r>
              <w:rPr>
                <w:rFonts w:hint="default"/>
                <w:color w:val="0000FF"/>
              </w:rPr>
              <w:t xml:space="preserve"> as defined in TS 38.306</w:t>
            </w:r>
            <w:r>
              <w:rPr>
                <w:rFonts w:hint="eastAsia"/>
                <w:color w:val="0000FF"/>
              </w:rPr>
              <w:t xml:space="preserve">. For NR Band x or NR Band y, </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color w:val="0000FF"/>
              </w:rPr>
            </w:pPr>
            <w:r>
              <w:rPr>
                <w:rFonts w:hint="default"/>
                <w:color w:val="0000FF"/>
              </w:rPr>
              <w:t>–</w:t>
            </w:r>
            <w:r>
              <w:rPr>
                <w:rFonts w:hint="default"/>
                <w:color w:val="0000FF"/>
              </w:rPr>
              <w:tab/>
            </w:r>
            <w:r>
              <w:rPr>
                <w:rFonts w:hint="eastAsia"/>
                <w:color w:val="0000FF"/>
              </w:rPr>
              <w:t xml:space="preserve">if </w:t>
            </w:r>
            <w:r>
              <w:rPr>
                <w:rFonts w:hint="default"/>
                <w:color w:val="0000FF"/>
              </w:rPr>
              <w:t xml:space="preserve">power class of one or both of </w:t>
            </w:r>
            <w:r>
              <w:rPr>
                <w:rFonts w:hint="eastAsia"/>
                <w:color w:val="0000FF"/>
              </w:rPr>
              <w:t>the band</w:t>
            </w:r>
            <w:r>
              <w:rPr>
                <w:rFonts w:hint="default"/>
                <w:color w:val="0000FF"/>
              </w:rPr>
              <w:t xml:space="preserve">s within the band combination is </w:t>
            </w:r>
            <w:r>
              <w:rPr>
                <w:rFonts w:hint="eastAsia"/>
                <w:color w:val="0000FF"/>
              </w:rPr>
              <w:t>power class 2 and the corresponding UE capability</w:t>
            </w:r>
            <w:r>
              <w:rPr>
                <w:rFonts w:hint="default"/>
                <w:color w:val="0000FF"/>
              </w:rPr>
              <w:t xml:space="preserve"> maxUplinkDutyCycle-PC2-FR1 </w:t>
            </w:r>
            <w:r>
              <w:rPr>
                <w:rFonts w:hint="eastAsia"/>
                <w:color w:val="0000FF"/>
              </w:rPr>
              <w:t>is absent;</w:t>
            </w:r>
          </w:p>
          <w:p>
            <w:pPr>
              <w:pStyle w:val="51"/>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color w:val="0000FF"/>
              </w:rPr>
            </w:pPr>
            <w:r>
              <w:rPr>
                <w:rFonts w:hint="default"/>
                <w:color w:val="0000FF"/>
              </w:rPr>
              <w:t>–</w:t>
            </w:r>
            <w:r>
              <w:rPr>
                <w:rFonts w:hint="default"/>
                <w:color w:val="0000FF"/>
              </w:rPr>
              <w:tab/>
            </w:r>
            <w:r>
              <w:rPr>
                <w:rFonts w:hint="eastAsia"/>
                <w:color w:val="0000FF"/>
              </w:rPr>
              <w:t>the corresponding maxDuty</w:t>
            </w:r>
            <w:r>
              <w:rPr>
                <w:rFonts w:hint="default"/>
                <w:color w:val="0000FF"/>
              </w:rPr>
              <w:t xml:space="preserve">NR,x </w:t>
            </w:r>
            <w:r>
              <w:rPr>
                <w:rFonts w:hint="eastAsia"/>
                <w:color w:val="0000FF"/>
              </w:rPr>
              <w:t>or maxDuty</w:t>
            </w:r>
            <w:r>
              <w:rPr>
                <w:rFonts w:hint="default"/>
                <w:color w:val="0000FF"/>
              </w:rPr>
              <w:t xml:space="preserve">NR,y </w:t>
            </w:r>
            <w:r>
              <w:rPr>
                <w:rFonts w:hint="eastAsia"/>
                <w:color w:val="0000FF"/>
              </w:rPr>
              <w:t>is equal to 50%;</w:t>
            </w:r>
          </w:p>
          <w:p>
            <w:pPr>
              <w:pStyle w:val="47"/>
              <w:keepNext/>
              <w:keepLines/>
              <w:pageBreakBefore w:val="0"/>
              <w:widowControl/>
              <w:suppressLineNumbers w:val="0"/>
              <w:kinsoku/>
              <w:wordWrap/>
              <w:overflowPunct w:val="0"/>
              <w:topLinePunct w:val="0"/>
              <w:autoSpaceDE w:val="0"/>
              <w:autoSpaceDN w:val="0"/>
              <w:bidi w:val="0"/>
              <w:adjustRightInd w:val="0"/>
              <w:spacing w:before="120" w:beforeAutospacing="0" w:after="0" w:afterAutospacing="0" w:line="280" w:lineRule="atLeast"/>
              <w:ind w:right="0"/>
              <w:textAlignment w:val="baseline"/>
              <w:rPr>
                <w:rFonts w:hint="default"/>
                <w:color w:val="0000FF"/>
              </w:rPr>
            </w:pPr>
            <w:r>
              <w:rPr>
                <w:rFonts w:hint="default"/>
                <w:color w:val="0000FF"/>
              </w:rPr>
              <w:t>–</w:t>
            </w:r>
            <w:r>
              <w:rPr>
                <w:rFonts w:hint="default"/>
                <w:color w:val="0000FF"/>
              </w:rPr>
              <w:tab/>
            </w:r>
            <w:r>
              <w:rPr>
                <w:rFonts w:hint="eastAsia"/>
                <w:color w:val="0000FF"/>
                <w:lang w:eastAsia="zh-CN"/>
              </w:rPr>
              <w:t>else if the band is configured with power class 3;</w:t>
            </w:r>
          </w:p>
          <w:p>
            <w:pPr>
              <w:pStyle w:val="51"/>
              <w:keepNext/>
              <w:keepLines/>
              <w:pageBreakBefore w:val="0"/>
              <w:widowControl/>
              <w:suppressLineNumbers w:val="0"/>
              <w:kinsoku/>
              <w:wordWrap/>
              <w:overflowPunct w:val="0"/>
              <w:topLinePunct w:val="0"/>
              <w:autoSpaceDE w:val="0"/>
              <w:autoSpaceDN w:val="0"/>
              <w:bidi w:val="0"/>
              <w:adjustRightInd w:val="0"/>
              <w:snapToGrid w:val="0"/>
              <w:spacing w:before="120" w:beforeAutospacing="0" w:after="120" w:afterAutospacing="0" w:line="280" w:lineRule="atLeast"/>
              <w:ind w:right="0"/>
              <w:textAlignment w:val="baseline"/>
              <w:rPr>
                <w:rFonts w:hint="default"/>
              </w:rPr>
            </w:pPr>
            <w:r>
              <w:rPr>
                <w:rFonts w:hint="default"/>
                <w:color w:val="0000FF"/>
              </w:rPr>
              <w:t>–</w:t>
            </w:r>
            <w:r>
              <w:rPr>
                <w:rFonts w:hint="default"/>
                <w:color w:val="0000FF"/>
              </w:rPr>
              <w:tab/>
            </w:r>
            <w:r>
              <w:rPr>
                <w:rFonts w:hint="default"/>
                <w:color w:val="0000FF"/>
              </w:rPr>
              <w:t>the corresponding maxDutyNR,x or maxDutyNR,y is equal to 100%.</w:t>
            </w:r>
          </w:p>
        </w:tc>
      </w:tr>
      <w:bookmarkEnd w:id="16"/>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sz w:val="20"/>
          <w:szCs w:val="20"/>
          <w:lang w:val="en-US" w:eastAsia="zh-CN"/>
        </w:rPr>
      </w:pPr>
      <w:r>
        <w:rPr>
          <w:rFonts w:hint="eastAsia" w:cs="Times New Roman"/>
          <w:b/>
          <w:bCs/>
          <w:sz w:val="20"/>
          <w:szCs w:val="20"/>
          <w:lang w:val="en-US" w:eastAsia="zh-CN"/>
        </w:rPr>
        <w:t>Proposal 2: To consider the modifications for PC1.5 2Tx inter-band UL CA duty cycle solution.</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u w:val="none"/>
          <w:lang w:val="en-US" w:eastAsia="zh-CN"/>
        </w:rPr>
      </w:pPr>
      <w:r>
        <w:rPr>
          <w:rFonts w:hint="eastAsia"/>
          <w:b/>
          <w:bCs/>
          <w:sz w:val="20"/>
          <w:szCs w:val="20"/>
          <w:u w:val="none"/>
          <w:lang w:val="en-US" w:eastAsia="zh-CN"/>
        </w:rPr>
        <w:t>2.2 Pcmax tolerance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val="0"/>
          <w:bCs w:val="0"/>
          <w:sz w:val="20"/>
          <w:szCs w:val="20"/>
          <w:u w:val="none"/>
          <w:lang w:val="en-US" w:eastAsia="zh-CN"/>
        </w:rPr>
      </w:pPr>
      <w:r>
        <w:rPr>
          <w:rFonts w:hint="eastAsia"/>
          <w:b w:val="0"/>
          <w:bCs w:val="0"/>
          <w:sz w:val="20"/>
          <w:szCs w:val="20"/>
          <w:u w:val="none"/>
          <w:lang w:val="en-US" w:eastAsia="zh-CN"/>
        </w:rPr>
        <w:t>For Pcmax tolerance for inter-band NR-CA, it was agreed to use 31dBm as the upper bound, which is shown below. where the 31dBm=26dBm+29dBm to compliance with the case when the higher power limits capabilities is enabled, and it is for 3Tx inter-band NR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textAlignment w:val="baseline"/>
              <w:rPr>
                <w:rFonts w:eastAsia="宋体"/>
                <w:b/>
                <w:bCs/>
                <w:szCs w:val="24"/>
              </w:rPr>
            </w:pPr>
            <w:r>
              <w:rPr>
                <w:rFonts w:eastAsia="宋体"/>
                <w:b/>
                <w:bCs/>
                <w:szCs w:val="24"/>
              </w:rPr>
              <w:t xml:space="preserve">Agreement: </w:t>
            </w:r>
          </w:p>
          <w:p>
            <w:pPr>
              <w:keepNext/>
              <w:keepLines/>
              <w:pageBreakBefore w:val="0"/>
              <w:widowControl w:val="0"/>
              <w:numPr>
                <w:ilvl w:val="0"/>
                <w:numId w:val="8"/>
              </w:numPr>
              <w:kinsoku/>
              <w:wordWrap/>
              <w:overflowPunct w:val="0"/>
              <w:topLinePunct w:val="0"/>
              <w:autoSpaceDE w:val="0"/>
              <w:autoSpaceDN w:val="0"/>
              <w:bidi w:val="0"/>
              <w:adjustRightIn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Modify P</w:t>
            </w:r>
            <w:r>
              <w:rPr>
                <w:rFonts w:ascii="Times New Roman" w:hAnsi="Times New Roman" w:eastAsia="ＭＳ 明朝" w:cs="Times New Roman"/>
                <w:kern w:val="2"/>
                <w:sz w:val="21"/>
                <w:szCs w:val="24"/>
                <w:vertAlign w:val="subscript"/>
                <w:lang w:val="en-US" w:eastAsia="zh-CN" w:bidi="ar-SA"/>
              </w:rPr>
              <w:t>CMAX</w:t>
            </w:r>
            <w:r>
              <w:rPr>
                <w:rFonts w:ascii="Times New Roman" w:hAnsi="Times New Roman" w:eastAsia="ＭＳ 明朝" w:cs="Times New Roman"/>
                <w:kern w:val="2"/>
                <w:sz w:val="21"/>
                <w:szCs w:val="24"/>
                <w:lang w:val="en-US" w:eastAsia="zh-CN" w:bidi="ar-SA"/>
              </w:rPr>
              <w:t xml:space="preserve"> tolerance for inter-band NR-CA as following </w:t>
            </w:r>
          </w:p>
          <w:tbl>
            <w:tblPr>
              <w:tblStyle w:val="23"/>
              <w:tblW w:w="5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b/>
                      <w:bCs/>
                      <w:kern w:val="0"/>
                      <w:sz w:val="18"/>
                      <w:szCs w:val="18"/>
                      <w:lang w:val="en-US" w:eastAsia="zh-CN" w:bidi="ar"/>
                    </w:rPr>
                  </w:pPr>
                  <w:r>
                    <w:rPr>
                      <w:rFonts w:hint="default" w:ascii="Arial" w:hAnsi="Arial" w:eastAsia="Times New Roman" w:cs="Times New Roman"/>
                      <w:b/>
                      <w:bCs/>
                      <w:kern w:val="0"/>
                      <w:sz w:val="18"/>
                      <w:szCs w:val="18"/>
                      <w:lang w:val="en-US" w:eastAsia="zh-CN" w:bidi="ar"/>
                    </w:rPr>
                    <w:t>P</w:t>
                  </w:r>
                  <w:r>
                    <w:rPr>
                      <w:rFonts w:hint="default" w:ascii="Arial" w:hAnsi="Arial" w:eastAsia="Times New Roman" w:cs="Times New Roman"/>
                      <w:b/>
                      <w:bCs/>
                      <w:kern w:val="0"/>
                      <w:sz w:val="18"/>
                      <w:szCs w:val="18"/>
                      <w:vertAlign w:val="subscript"/>
                      <w:lang w:val="en-US" w:eastAsia="zh-CN" w:bidi="ar"/>
                    </w:rPr>
                    <w:t>CMAX</w:t>
                  </w:r>
                  <w:r>
                    <w:rPr>
                      <w:rFonts w:hint="default" w:ascii="Arial" w:hAnsi="Arial" w:eastAsia="Times New Roman" w:cs="Times New Roman"/>
                      <w:b/>
                      <w:bCs/>
                      <w:kern w:val="0"/>
                      <w:sz w:val="18"/>
                      <w:szCs w:val="18"/>
                      <w:lang w:val="en-US" w:eastAsia="zh-CN" w:bidi="ar"/>
                    </w:rPr>
                    <w:br w:type="textWrapping"/>
                  </w:r>
                  <w:r>
                    <w:rPr>
                      <w:rFonts w:hint="default" w:ascii="Arial" w:hAnsi="Arial" w:eastAsia="Times New Roman" w:cs="Times New Roman"/>
                      <w:b/>
                      <w:bCs/>
                      <w:kern w:val="0"/>
                      <w:sz w:val="18"/>
                      <w:szCs w:val="18"/>
                      <w:lang w:val="en-US" w:eastAsia="zh-CN" w:bidi="ar"/>
                    </w:rPr>
                    <w:t>(dBm)</w:t>
                  </w:r>
                </w:p>
              </w:tc>
              <w:tc>
                <w:tcPr>
                  <w:tcW w:w="2081" w:type="dxa"/>
                  <w:shd w:val="clear" w:color="auto" w:fill="auto"/>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b/>
                      <w:bCs/>
                      <w:kern w:val="0"/>
                      <w:sz w:val="18"/>
                      <w:szCs w:val="18"/>
                      <w:lang w:val="en-US" w:eastAsia="zh-CN" w:bidi="ar"/>
                    </w:rPr>
                  </w:pPr>
                  <w:r>
                    <w:rPr>
                      <w:rFonts w:hint="default" w:ascii="Arial" w:hAnsi="Arial" w:eastAsia="Times New Roman" w:cs="Times New Roman"/>
                      <w:b/>
                      <w:bCs/>
                      <w:kern w:val="0"/>
                      <w:sz w:val="18"/>
                      <w:szCs w:val="18"/>
                      <w:lang w:val="en-US" w:eastAsia="zh-CN" w:bidi="ar"/>
                    </w:rPr>
                    <w:t>Tolerance</w:t>
                  </w:r>
                  <w:r>
                    <w:rPr>
                      <w:rFonts w:hint="default" w:ascii="Arial" w:hAnsi="Arial" w:eastAsia="Times New Roman" w:cs="Times New Roman"/>
                      <w:b/>
                      <w:bCs/>
                      <w:kern w:val="0"/>
                      <w:sz w:val="18"/>
                      <w:szCs w:val="18"/>
                      <w:lang w:val="en-US" w:eastAsia="zh-CN" w:bidi="ar"/>
                    </w:rPr>
                    <w:br w:type="textWrapping"/>
                  </w:r>
                  <w:r>
                    <w:rPr>
                      <w:rFonts w:hint="default" w:ascii="Arial" w:hAnsi="Arial" w:eastAsia="Times New Roman" w:cs="Times New Roman"/>
                      <w:b/>
                      <w:bCs/>
                      <w:kern w:val="0"/>
                      <w:sz w:val="18"/>
                      <w:szCs w:val="18"/>
                      <w:lang w:val="en-US" w:eastAsia="zh-CN" w:bidi="ar"/>
                    </w:rPr>
                    <w:t>T</w:t>
                  </w:r>
                  <w:r>
                    <w:rPr>
                      <w:rFonts w:hint="default" w:ascii="Arial" w:hAnsi="Arial" w:eastAsia="Times New Roman" w:cs="Times New Roman"/>
                      <w:b/>
                      <w:bCs/>
                      <w:kern w:val="0"/>
                      <w:sz w:val="18"/>
                      <w:szCs w:val="18"/>
                      <w:vertAlign w:val="subscript"/>
                      <w:lang w:val="en-US" w:eastAsia="zh-CN" w:bidi="ar"/>
                    </w:rPr>
                    <w:t>LOW</w:t>
                  </w:r>
                  <w:r>
                    <w:rPr>
                      <w:rFonts w:hint="default" w:ascii="Arial" w:hAnsi="Arial" w:eastAsia="Times New Roman" w:cs="Times New Roman"/>
                      <w:b/>
                      <w:bCs/>
                      <w:kern w:val="0"/>
                      <w:sz w:val="18"/>
                      <w:szCs w:val="18"/>
                      <w:lang w:val="en-US" w:eastAsia="zh-CN" w:bidi="ar"/>
                    </w:rPr>
                    <w:t>(P</w:t>
                  </w:r>
                  <w:r>
                    <w:rPr>
                      <w:rFonts w:hint="default" w:ascii="Arial" w:hAnsi="Arial" w:eastAsia="Times New Roman" w:cs="Times New Roman"/>
                      <w:b/>
                      <w:bCs/>
                      <w:kern w:val="0"/>
                      <w:sz w:val="18"/>
                      <w:szCs w:val="18"/>
                      <w:vertAlign w:val="subscript"/>
                      <w:lang w:val="en-US" w:eastAsia="zh-CN" w:bidi="ar"/>
                    </w:rPr>
                    <w:t>CMAX</w:t>
                  </w:r>
                  <w:r>
                    <w:rPr>
                      <w:rFonts w:hint="default" w:ascii="Arial" w:hAnsi="Arial" w:eastAsia="Times New Roman" w:cs="Times New Roman"/>
                      <w:b/>
                      <w:bCs/>
                      <w:kern w:val="0"/>
                      <w:sz w:val="18"/>
                      <w:szCs w:val="18"/>
                      <w:lang w:val="en-US" w:eastAsia="zh-CN" w:bidi="ar"/>
                    </w:rPr>
                    <w:t>)</w:t>
                  </w:r>
                  <w:r>
                    <w:rPr>
                      <w:rFonts w:hint="default" w:ascii="Arial" w:hAnsi="Arial" w:eastAsia="Times New Roman" w:cs="Times New Roman"/>
                      <w:b/>
                      <w:bCs/>
                      <w:kern w:val="0"/>
                      <w:sz w:val="18"/>
                      <w:szCs w:val="18"/>
                      <w:lang w:val="en-US" w:eastAsia="zh-CN" w:bidi="ar"/>
                    </w:rPr>
                    <w:br w:type="textWrapping"/>
                  </w:r>
                  <w:r>
                    <w:rPr>
                      <w:rFonts w:hint="default" w:ascii="Arial" w:hAnsi="Arial" w:eastAsia="Times New Roman" w:cs="Times New Roman"/>
                      <w:b/>
                      <w:bCs/>
                      <w:kern w:val="0"/>
                      <w:sz w:val="18"/>
                      <w:szCs w:val="18"/>
                      <w:lang w:val="en-US" w:eastAsia="zh-CN" w:bidi="ar"/>
                    </w:rPr>
                    <w:t>(dB)</w:t>
                  </w:r>
                </w:p>
              </w:tc>
              <w:tc>
                <w:tcPr>
                  <w:tcW w:w="2090" w:type="dxa"/>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b/>
                      <w:bCs/>
                      <w:kern w:val="0"/>
                      <w:sz w:val="18"/>
                      <w:szCs w:val="18"/>
                      <w:lang w:val="en-US" w:eastAsia="zh-CN" w:bidi="ar"/>
                    </w:rPr>
                  </w:pPr>
                  <w:r>
                    <w:rPr>
                      <w:rFonts w:hint="default" w:ascii="Arial" w:hAnsi="Arial" w:eastAsia="Times New Roman" w:cs="Times New Roman"/>
                      <w:b/>
                      <w:bCs/>
                      <w:kern w:val="0"/>
                      <w:sz w:val="18"/>
                      <w:szCs w:val="18"/>
                      <w:lang w:val="en-US" w:eastAsia="zh-CN" w:bidi="ar"/>
                    </w:rPr>
                    <w:t>Tolerance</w:t>
                  </w:r>
                  <w:r>
                    <w:rPr>
                      <w:rFonts w:hint="default" w:ascii="Arial" w:hAnsi="Arial" w:eastAsia="Times New Roman" w:cs="Times New Roman"/>
                      <w:b/>
                      <w:bCs/>
                      <w:kern w:val="0"/>
                      <w:sz w:val="18"/>
                      <w:szCs w:val="18"/>
                      <w:lang w:val="en-US" w:eastAsia="zh-CN" w:bidi="ar"/>
                    </w:rPr>
                    <w:br w:type="textWrapping"/>
                  </w:r>
                  <w:r>
                    <w:rPr>
                      <w:rFonts w:hint="default" w:ascii="Arial" w:hAnsi="Arial" w:eastAsia="Times New Roman" w:cs="Times New Roman"/>
                      <w:b/>
                      <w:bCs/>
                      <w:kern w:val="0"/>
                      <w:sz w:val="18"/>
                      <w:szCs w:val="18"/>
                      <w:lang w:val="en-US" w:eastAsia="zh-CN" w:bidi="ar"/>
                    </w:rPr>
                    <w:t>T</w:t>
                  </w:r>
                  <w:r>
                    <w:rPr>
                      <w:rFonts w:hint="default" w:ascii="Arial" w:hAnsi="Arial" w:eastAsia="Times New Roman" w:cs="Times New Roman"/>
                      <w:b/>
                      <w:bCs/>
                      <w:kern w:val="0"/>
                      <w:sz w:val="18"/>
                      <w:szCs w:val="18"/>
                      <w:vertAlign w:val="subscript"/>
                      <w:lang w:val="en-US" w:eastAsia="zh-CN" w:bidi="ar"/>
                    </w:rPr>
                    <w:t>HIGH</w:t>
                  </w:r>
                  <w:r>
                    <w:rPr>
                      <w:rFonts w:hint="default" w:ascii="Arial" w:hAnsi="Arial" w:eastAsia="Times New Roman" w:cs="Times New Roman"/>
                      <w:b/>
                      <w:bCs/>
                      <w:kern w:val="0"/>
                      <w:sz w:val="18"/>
                      <w:szCs w:val="18"/>
                      <w:lang w:val="en-US" w:eastAsia="zh-CN" w:bidi="ar"/>
                    </w:rPr>
                    <w:t>(P</w:t>
                  </w:r>
                  <w:r>
                    <w:rPr>
                      <w:rFonts w:hint="default" w:ascii="Arial" w:hAnsi="Arial" w:eastAsia="Times New Roman" w:cs="Times New Roman"/>
                      <w:b/>
                      <w:bCs/>
                      <w:kern w:val="0"/>
                      <w:sz w:val="18"/>
                      <w:szCs w:val="18"/>
                      <w:vertAlign w:val="subscript"/>
                      <w:lang w:val="en-US" w:eastAsia="zh-CN" w:bidi="ar"/>
                    </w:rPr>
                    <w:t>CMAX</w:t>
                  </w:r>
                  <w:r>
                    <w:rPr>
                      <w:rFonts w:hint="default" w:ascii="Arial" w:hAnsi="Arial" w:eastAsia="Times New Roman" w:cs="Times New Roman"/>
                      <w:b/>
                      <w:bCs/>
                      <w:kern w:val="0"/>
                      <w:sz w:val="18"/>
                      <w:szCs w:val="18"/>
                      <w:lang w:val="en-US" w:eastAsia="zh-CN" w:bidi="ar"/>
                    </w:rPr>
                    <w:t>)</w:t>
                  </w:r>
                  <w:r>
                    <w:rPr>
                      <w:rFonts w:hint="default" w:ascii="Arial" w:hAnsi="Arial" w:eastAsia="Times New Roman" w:cs="Times New Roman"/>
                      <w:b/>
                      <w:bCs/>
                      <w:kern w:val="0"/>
                      <w:sz w:val="18"/>
                      <w:szCs w:val="18"/>
                      <w:lang w:val="en-US" w:eastAsia="zh-CN" w:bidi="ar"/>
                    </w:rPr>
                    <w:br w:type="textWrapping"/>
                  </w:r>
                  <w:r>
                    <w:rPr>
                      <w:rFonts w:hint="default" w:ascii="Arial" w:hAnsi="Arial" w:eastAsia="Times New Roman" w:cs="Times New Roman"/>
                      <w:b/>
                      <w:bCs/>
                      <w:kern w:val="0"/>
                      <w:sz w:val="18"/>
                      <w:szCs w:val="18"/>
                      <w:lang w:val="en-US" w:eastAsia="zh-CN" w:bidi="ar"/>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23 ≤ P</w:t>
                  </w:r>
                  <w:r>
                    <w:rPr>
                      <w:rFonts w:hint="default" w:ascii="Arial" w:hAnsi="Arial" w:eastAsia="Times New Roman" w:cs="Times New Roman"/>
                      <w:kern w:val="0"/>
                      <w:sz w:val="18"/>
                      <w:szCs w:val="20"/>
                      <w:vertAlign w:val="subscript"/>
                      <w:lang w:val="en-US" w:eastAsia="zh-CN" w:bidi="ar"/>
                    </w:rPr>
                    <w:t>CMAX</w:t>
                  </w:r>
                  <w:r>
                    <w:rPr>
                      <w:rFonts w:hint="eastAsia"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highlight w:val="yellow"/>
                      <w:lang w:val="en-US" w:eastAsia="zh-CN" w:bidi="ar"/>
                    </w:rPr>
                    <w:t>31</w:t>
                  </w:r>
                </w:p>
              </w:tc>
              <w:tc>
                <w:tcPr>
                  <w:tcW w:w="2081"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3</w:t>
                  </w:r>
                  <w:r>
                    <w:rPr>
                      <w:rFonts w:hint="default" w:ascii="Arial" w:hAnsi="Arial" w:eastAsia="Times New Roman" w:cs="Times New Roman"/>
                      <w:kern w:val="0"/>
                      <w:sz w:val="18"/>
                      <w:szCs w:val="20"/>
                      <w:lang w:val="en-US" w:eastAsia="zh-CN" w:bidi="ar"/>
                    </w:rPr>
                    <w:t>.0</w:t>
                  </w:r>
                </w:p>
              </w:tc>
              <w:tc>
                <w:tcPr>
                  <w:tcW w:w="2090" w:type="dxa"/>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2</w:t>
                  </w:r>
                  <w:r>
                    <w:rPr>
                      <w:rFonts w:hint="eastAsia" w:ascii="Arial" w:hAnsi="Arial" w:eastAsia="Times New Roman" w:cs="Times New Roman"/>
                      <w:kern w:val="0"/>
                      <w:sz w:val="18"/>
                      <w:szCs w:val="20"/>
                      <w:lang w:val="en-US" w:eastAsia="zh-CN" w:bidi="ar"/>
                    </w:rPr>
                    <w:t>2</w:t>
                  </w:r>
                  <w:r>
                    <w:rPr>
                      <w:rFonts w:hint="default" w:ascii="Arial" w:hAnsi="Arial" w:eastAsia="Times New Roman" w:cs="Times New Roman"/>
                      <w:kern w:val="0"/>
                      <w:sz w:val="18"/>
                      <w:szCs w:val="20"/>
                      <w:lang w:val="en-US" w:eastAsia="zh-CN" w:bidi="ar"/>
                    </w:rPr>
                    <w:t xml:space="preserve">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2</w:t>
                  </w:r>
                  <w:r>
                    <w:rPr>
                      <w:rFonts w:hint="eastAsia" w:ascii="Arial" w:hAnsi="Arial" w:eastAsia="Times New Roman" w:cs="Times New Roman"/>
                      <w:kern w:val="0"/>
                      <w:sz w:val="18"/>
                      <w:szCs w:val="20"/>
                      <w:lang w:val="en-US" w:eastAsia="zh-CN" w:bidi="ar"/>
                    </w:rPr>
                    <w:t>3</w:t>
                  </w:r>
                </w:p>
              </w:tc>
              <w:tc>
                <w:tcPr>
                  <w:tcW w:w="2081"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5.0</w:t>
                  </w:r>
                </w:p>
              </w:tc>
              <w:tc>
                <w:tcPr>
                  <w:tcW w:w="2090"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21</w:t>
                  </w:r>
                  <w:r>
                    <w:rPr>
                      <w:rFonts w:hint="default" w:ascii="Arial" w:hAnsi="Arial" w:eastAsia="Times New Roman" w:cs="Times New Roman"/>
                      <w:kern w:val="0"/>
                      <w:sz w:val="18"/>
                      <w:szCs w:val="20"/>
                      <w:lang w:val="en-US" w:eastAsia="zh-CN" w:bidi="ar"/>
                    </w:rPr>
                    <w:t xml:space="preserve">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2</w:t>
                  </w:r>
                  <w:r>
                    <w:rPr>
                      <w:rFonts w:hint="eastAsia" w:ascii="Arial" w:hAnsi="Arial" w:eastAsia="Times New Roman" w:cs="Times New Roman"/>
                      <w:kern w:val="0"/>
                      <w:sz w:val="18"/>
                      <w:szCs w:val="20"/>
                      <w:lang w:val="en-US" w:eastAsia="zh-CN" w:bidi="ar"/>
                    </w:rPr>
                    <w:t>2</w:t>
                  </w:r>
                </w:p>
              </w:tc>
              <w:tc>
                <w:tcPr>
                  <w:tcW w:w="2081"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5.0</w:t>
                  </w:r>
                </w:p>
              </w:tc>
              <w:tc>
                <w:tcPr>
                  <w:tcW w:w="2090"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20</w:t>
                  </w:r>
                  <w:r>
                    <w:rPr>
                      <w:rFonts w:hint="default" w:ascii="Arial" w:hAnsi="Arial" w:eastAsia="Times New Roman" w:cs="Times New Roman"/>
                      <w:kern w:val="0"/>
                      <w:sz w:val="18"/>
                      <w:szCs w:val="20"/>
                      <w:lang w:val="en-US" w:eastAsia="zh-CN" w:bidi="ar"/>
                    </w:rPr>
                    <w:t xml:space="preserve">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2</w:t>
                  </w:r>
                  <w:r>
                    <w:rPr>
                      <w:rFonts w:hint="eastAsia" w:ascii="Arial" w:hAnsi="Arial" w:eastAsia="Times New Roman" w:cs="Times New Roman"/>
                      <w:kern w:val="0"/>
                      <w:sz w:val="18"/>
                      <w:szCs w:val="20"/>
                      <w:lang w:val="en-US" w:eastAsia="zh-CN" w:bidi="ar"/>
                    </w:rPr>
                    <w:t>1</w:t>
                  </w:r>
                </w:p>
              </w:tc>
              <w:tc>
                <w:tcPr>
                  <w:tcW w:w="2081"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5.0</w:t>
                  </w:r>
                </w:p>
              </w:tc>
              <w:tc>
                <w:tcPr>
                  <w:tcW w:w="2090"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16</w:t>
                  </w:r>
                  <w:r>
                    <w:rPr>
                      <w:rFonts w:hint="default" w:ascii="Arial" w:hAnsi="Arial" w:eastAsia="Times New Roman" w:cs="Times New Roman"/>
                      <w:kern w:val="0"/>
                      <w:sz w:val="18"/>
                      <w:szCs w:val="20"/>
                      <w:lang w:val="en-US" w:eastAsia="zh-CN" w:bidi="ar"/>
                    </w:rPr>
                    <w:t xml:space="preserve">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w:t>
                  </w:r>
                  <w:r>
                    <w:rPr>
                      <w:rFonts w:hint="eastAsia" w:ascii="Arial" w:hAnsi="Arial" w:eastAsia="Times New Roman" w:cs="Times New Roman"/>
                      <w:kern w:val="0"/>
                      <w:sz w:val="18"/>
                      <w:szCs w:val="20"/>
                      <w:lang w:val="en-US" w:eastAsia="zh-CN" w:bidi="ar"/>
                    </w:rPr>
                    <w:t>20</w:t>
                  </w:r>
                </w:p>
              </w:tc>
              <w:tc>
                <w:tcPr>
                  <w:tcW w:w="4171" w:type="dxa"/>
                  <w:gridSpan w:val="2"/>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11</w:t>
                  </w:r>
                  <w:r>
                    <w:rPr>
                      <w:rFonts w:hint="default" w:ascii="Arial" w:hAnsi="Arial" w:eastAsia="Times New Roman" w:cs="Times New Roman"/>
                      <w:kern w:val="0"/>
                      <w:sz w:val="18"/>
                      <w:szCs w:val="20"/>
                      <w:lang w:val="en-US" w:eastAsia="zh-CN" w:bidi="ar"/>
                    </w:rPr>
                    <w:t xml:space="preserve">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1</w:t>
                  </w:r>
                  <w:r>
                    <w:rPr>
                      <w:rFonts w:hint="eastAsia" w:ascii="Arial" w:hAnsi="Arial" w:eastAsia="Times New Roman" w:cs="Times New Roman"/>
                      <w:kern w:val="0"/>
                      <w:sz w:val="18"/>
                      <w:szCs w:val="20"/>
                      <w:lang w:val="en-US" w:eastAsia="zh-CN" w:bidi="ar"/>
                    </w:rPr>
                    <w:t>6</w:t>
                  </w:r>
                </w:p>
              </w:tc>
              <w:tc>
                <w:tcPr>
                  <w:tcW w:w="4171" w:type="dxa"/>
                  <w:gridSpan w:val="2"/>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4" w:type="dxa"/>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default" w:ascii="Arial" w:hAnsi="Arial" w:eastAsia="Times New Roman" w:cs="Times New Roman"/>
                      <w:kern w:val="0"/>
                      <w:sz w:val="18"/>
                      <w:szCs w:val="20"/>
                      <w:lang w:val="en-US" w:eastAsia="zh-CN" w:bidi="ar"/>
                    </w:rPr>
                    <w:t>-40 ≤ P</w:t>
                  </w:r>
                  <w:r>
                    <w:rPr>
                      <w:rFonts w:hint="default" w:ascii="Arial" w:hAnsi="Arial" w:eastAsia="Times New Roman" w:cs="Times New Roman"/>
                      <w:kern w:val="0"/>
                      <w:sz w:val="18"/>
                      <w:szCs w:val="20"/>
                      <w:vertAlign w:val="subscript"/>
                      <w:lang w:val="en-US" w:eastAsia="zh-CN" w:bidi="ar"/>
                    </w:rPr>
                    <w:t>CMAX</w:t>
                  </w:r>
                  <w:r>
                    <w:rPr>
                      <w:rFonts w:hint="default" w:ascii="Arial" w:hAnsi="Arial" w:eastAsia="Times New Roman" w:cs="Times New Roman"/>
                      <w:kern w:val="0"/>
                      <w:sz w:val="18"/>
                      <w:szCs w:val="20"/>
                      <w:lang w:val="en-US" w:eastAsia="zh-CN" w:bidi="ar"/>
                    </w:rPr>
                    <w:t xml:space="preserve"> &lt; </w:t>
                  </w:r>
                  <w:r>
                    <w:rPr>
                      <w:rFonts w:hint="eastAsia" w:ascii="Arial" w:hAnsi="Arial" w:eastAsia="Times New Roman" w:cs="Times New Roman"/>
                      <w:kern w:val="0"/>
                      <w:sz w:val="18"/>
                      <w:szCs w:val="20"/>
                      <w:lang w:val="en-US" w:eastAsia="zh-CN" w:bidi="ar"/>
                    </w:rPr>
                    <w:t>11</w:t>
                  </w:r>
                </w:p>
              </w:tc>
              <w:tc>
                <w:tcPr>
                  <w:tcW w:w="4171" w:type="dxa"/>
                  <w:gridSpan w:val="2"/>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jc w:val="center"/>
                    <w:rPr>
                      <w:rFonts w:hint="default" w:ascii="Arial" w:hAnsi="Arial" w:eastAsia="Times New Roman" w:cs="Times New Roman"/>
                      <w:kern w:val="0"/>
                      <w:sz w:val="18"/>
                      <w:szCs w:val="20"/>
                      <w:lang w:val="en-US" w:eastAsia="zh-CN" w:bidi="ar"/>
                    </w:rPr>
                  </w:pPr>
                  <w:r>
                    <w:rPr>
                      <w:rFonts w:hint="eastAsia" w:ascii="Arial" w:hAnsi="Arial" w:eastAsia="Times New Roman" w:cs="Times New Roman"/>
                      <w:kern w:val="0"/>
                      <w:sz w:val="18"/>
                      <w:szCs w:val="20"/>
                      <w:lang w:val="en-US" w:eastAsia="zh-CN" w:bidi="ar"/>
                    </w:rPr>
                    <w:t>7.0</w:t>
                  </w:r>
                </w:p>
              </w:tc>
            </w:tr>
          </w:tbl>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textAlignment w:val="baseline"/>
              <w:rPr>
                <w:szCs w:val="24"/>
              </w:rPr>
            </w:pPr>
          </w:p>
          <w:p>
            <w:pPr>
              <w:keepNext/>
              <w:keepLines/>
              <w:pageBreakBefore w:val="0"/>
              <w:widowControl w:val="0"/>
              <w:numPr>
                <w:ilvl w:val="0"/>
                <w:numId w:val="8"/>
              </w:numPr>
              <w:kinsoku/>
              <w:wordWrap/>
              <w:overflowPunct w:val="0"/>
              <w:topLinePunct w:val="0"/>
              <w:autoSpaceDE w:val="0"/>
              <w:autoSpaceDN w:val="0"/>
              <w:bidi w:val="0"/>
              <w:adjustRightInd w:val="0"/>
              <w:spacing w:after="180"/>
              <w:ind w:left="420" w:hanging="420" w:firstLineChars="0"/>
              <w:jc w:val="both"/>
              <w:textAlignment w:val="baseline"/>
              <w:rPr>
                <w:rFonts w:hint="default"/>
                <w:b w:val="0"/>
                <w:bCs w:val="0"/>
                <w:sz w:val="20"/>
                <w:szCs w:val="20"/>
                <w:u w:val="none"/>
                <w:vertAlign w:val="baseline"/>
                <w:lang w:val="en-US" w:eastAsia="zh-CN"/>
              </w:rPr>
            </w:pPr>
            <w:r>
              <w:rPr>
                <w:rFonts w:ascii="Times New Roman" w:hAnsi="Times New Roman" w:eastAsia="ＭＳ 明朝" w:cs="Times New Roman"/>
                <w:kern w:val="2"/>
                <w:sz w:val="21"/>
                <w:szCs w:val="24"/>
                <w:lang w:val="en-US" w:eastAsia="zh-CN" w:bidi="ar-SA"/>
              </w:rPr>
              <w:t>Provide draft CR for TS 38.101-1 (a revision of R4-2417096 which was endorsed in RAN4#112bis) in Feb meeting to reflect above agreemen</w:t>
            </w:r>
            <w:r>
              <w:rPr>
                <w:rFonts w:hint="eastAsia" w:ascii="Times New Roman" w:hAnsi="Times New Roman" w:eastAsia="ＭＳ 明朝" w:cs="Times New Roman"/>
                <w:kern w:val="2"/>
                <w:sz w:val="21"/>
                <w:szCs w:val="24"/>
                <w:lang w:val="en-US" w:eastAsia="zh-CN" w:bidi="ar-SA"/>
              </w:rPr>
              <w:t>t.</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val="0"/>
          <w:bCs w:val="0"/>
          <w:sz w:val="20"/>
          <w:szCs w:val="20"/>
          <w:u w:val="none"/>
          <w:lang w:val="en-US" w:eastAsia="zh-CN"/>
        </w:rPr>
      </w:pPr>
      <w:r>
        <w:rPr>
          <w:rFonts w:hint="eastAsia"/>
          <w:b w:val="0"/>
          <w:bCs w:val="0"/>
          <w:sz w:val="20"/>
          <w:szCs w:val="20"/>
          <w:u w:val="none"/>
          <w:lang w:val="en-US" w:eastAsia="zh-CN"/>
        </w:rPr>
        <w:t>However, for 2Tx inter-band ENDC, the Pcmax tolerance is defined in current specification TS38.101-3, and it</w:t>
      </w:r>
      <w:r>
        <w:rPr>
          <w:rFonts w:hint="eastAsia"/>
          <w:sz w:val="20"/>
          <w:szCs w:val="20"/>
          <w:lang w:val="en-US" w:eastAsia="zh-CN"/>
        </w:rPr>
        <w:t xml:space="preserve"> is applied for 3Tx inter-band ENDC.</w:t>
      </w:r>
    </w:p>
    <w:p>
      <w:pPr>
        <w:keepNext/>
        <w:keepLines/>
        <w:pageBreakBefore w:val="0"/>
        <w:widowControl/>
        <w:numPr>
          <w:ilvl w:val="0"/>
          <w:numId w:val="0"/>
        </w:numPr>
        <w:kinsoku/>
        <w:wordWrap/>
        <w:overflowPunct/>
        <w:topLinePunct w:val="0"/>
        <w:autoSpaceDE/>
        <w:autoSpaceDN/>
        <w:bidi w:val="0"/>
        <w:adjustRightInd/>
        <w:snapToGrid/>
        <w:spacing w:after="120"/>
        <w:ind w:leftChars="0"/>
        <w:jc w:val="center"/>
        <w:textAlignment w:val="auto"/>
        <w:outlineLvl w:val="9"/>
      </w:pPr>
      <w:r>
        <w:drawing>
          <wp:inline distT="0" distB="0" distL="114300" distR="114300">
            <wp:extent cx="4343400" cy="18364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343400" cy="1836420"/>
                    </a:xfrm>
                    <a:prstGeom prst="rect">
                      <a:avLst/>
                    </a:prstGeom>
                    <a:noFill/>
                    <a:ln>
                      <a:noFill/>
                    </a:ln>
                  </pic:spPr>
                </pic:pic>
              </a:graphicData>
            </a:graphic>
          </wp:inline>
        </w:drawing>
      </w:r>
    </w:p>
    <w:p>
      <w:pPr>
        <w:keepNext/>
        <w:keepLines/>
        <w:pageBreakBefore w:val="0"/>
        <w:widowControl/>
        <w:numPr>
          <w:ilvl w:val="0"/>
          <w:numId w:val="0"/>
        </w:numPr>
        <w:kinsoku/>
        <w:wordWrap/>
        <w:overflowPunct/>
        <w:topLinePunct w:val="0"/>
        <w:autoSpaceDE/>
        <w:autoSpaceDN/>
        <w:bidi w:val="0"/>
        <w:adjustRightInd/>
        <w:snapToGrid/>
        <w:spacing w:after="120"/>
        <w:ind w:leftChars="0"/>
        <w:jc w:val="left"/>
        <w:textAlignment w:val="auto"/>
        <w:outlineLvl w:val="9"/>
        <w:rPr>
          <w:rFonts w:hint="default"/>
          <w:sz w:val="20"/>
          <w:szCs w:val="20"/>
          <w:lang w:val="en-US" w:eastAsia="zh-CN"/>
        </w:rPr>
      </w:pPr>
      <w:r>
        <w:rPr>
          <w:rFonts w:hint="eastAsia"/>
          <w:sz w:val="20"/>
          <w:szCs w:val="20"/>
          <w:lang w:val="en-US" w:eastAsia="zh-CN"/>
        </w:rPr>
        <w:t>In our understanding, the upper bound 33dBm comes from the Pemax upper bound, and also it is true to use 33dBm here because the tolerance for Pcmax</w:t>
      </w:r>
      <w:r>
        <w:rPr>
          <w:rFonts w:hint="default"/>
          <w:sz w:val="20"/>
          <w:szCs w:val="20"/>
          <w:lang w:val="en-US" w:eastAsia="zh-CN"/>
        </w:rPr>
        <w:t>≥</w:t>
      </w:r>
      <w:r>
        <w:rPr>
          <w:rFonts w:hint="eastAsia"/>
          <w:sz w:val="20"/>
          <w:szCs w:val="20"/>
          <w:lang w:val="en-US" w:eastAsia="zh-CN"/>
        </w:rPr>
        <w:t>23dBm are the same. However, 33dBm cannot be never achieved in current methodology for HPUE 3Tx ENDC.</w:t>
      </w:r>
    </w:p>
    <w:p>
      <w:pPr>
        <w:keepNext/>
        <w:keepLines/>
        <w:pageBreakBefore w:val="0"/>
        <w:widowControl/>
        <w:numPr>
          <w:ilvl w:val="0"/>
          <w:numId w:val="0"/>
        </w:numPr>
        <w:kinsoku/>
        <w:wordWrap/>
        <w:overflowPunct/>
        <w:topLinePunct w:val="0"/>
        <w:autoSpaceDE/>
        <w:autoSpaceDN/>
        <w:bidi w:val="0"/>
        <w:adjustRightInd/>
        <w:snapToGrid/>
        <w:spacing w:after="120"/>
        <w:ind w:leftChars="0"/>
        <w:jc w:val="left"/>
        <w:textAlignment w:val="auto"/>
        <w:outlineLvl w:val="9"/>
        <w:rPr>
          <w:rFonts w:hint="default"/>
          <w:sz w:val="20"/>
          <w:szCs w:val="20"/>
          <w:lang w:val="en-US" w:eastAsia="zh-CN"/>
        </w:rPr>
      </w:pPr>
      <w:r>
        <w:rPr>
          <w:rFonts w:hint="eastAsia"/>
          <w:sz w:val="20"/>
          <w:szCs w:val="20"/>
          <w:lang w:val="en-US" w:eastAsia="zh-CN"/>
        </w:rPr>
        <w:t>In theory, the upper bound for both PC1.5 inter-band ULCA and PC1.5 inter-band ENDC should be the same due to increased power limits feature is enable for both. However, there exist inconsistency between inter-band ULCA and ENDC. Therefore, from specification perspective, it should keep consistency between HPUE inter-band ULCA and HPUE ENDC.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sz w:val="20"/>
          <w:szCs w:val="20"/>
          <w:lang w:val="en-US" w:eastAsia="zh-CN"/>
        </w:rPr>
      </w:pPr>
      <w:r>
        <w:rPr>
          <w:rFonts w:hint="eastAsia" w:cs="Times New Roman"/>
          <w:b/>
          <w:bCs/>
          <w:sz w:val="20"/>
          <w:szCs w:val="20"/>
          <w:lang w:val="en-US" w:eastAsia="zh-CN"/>
        </w:rPr>
        <w:t>Proposal 3: From specifications perspective, it should keep consistency for Pcmax tolerance between HPUE inter-band ULCA and HPUE ENDC.</w:t>
      </w:r>
    </w:p>
    <w:p>
      <w:pPr>
        <w:keepNext/>
        <w:keepLines/>
        <w:pageBreakBefore w:val="0"/>
        <w:widowControl/>
        <w:numPr>
          <w:ilvl w:val="0"/>
          <w:numId w:val="0"/>
        </w:numPr>
        <w:kinsoku/>
        <w:wordWrap/>
        <w:overflowPunct/>
        <w:topLinePunct w:val="0"/>
        <w:autoSpaceDE/>
        <w:autoSpaceDN/>
        <w:bidi w:val="0"/>
        <w:adjustRightInd/>
        <w:snapToGrid/>
        <w:spacing w:after="120" w:line="260" w:lineRule="auto"/>
        <w:ind w:leftChars="0"/>
        <w:textAlignment w:val="auto"/>
        <w:outlineLvl w:val="1"/>
        <w:rPr>
          <w:rFonts w:hint="default"/>
          <w:b/>
          <w:bCs/>
          <w:sz w:val="20"/>
          <w:szCs w:val="20"/>
          <w:u w:val="none"/>
          <w:lang w:val="en-US" w:eastAsia="zh-CN"/>
        </w:rPr>
      </w:pPr>
      <w:r>
        <w:rPr>
          <w:rFonts w:hint="eastAsia"/>
          <w:b/>
          <w:bCs/>
          <w:sz w:val="20"/>
          <w:szCs w:val="20"/>
          <w:u w:val="none"/>
          <w:lang w:val="en-US" w:eastAsia="zh-CN"/>
        </w:rPr>
        <w:t>2.3 MSD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terms of the previous discussion, it can be seen that companies have strong will to simplify the existing MSD table for HPUE band combination considering the huge work for HPUE artificial MSD calculation based on the worse case or different assumptions which cause high MSD value. In general, the high MSD value derived from the worse case is hardly happened in the practical.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last RAN4 meeting, there are some high level agreements in the WF[6]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b/>
                <w:bCs/>
                <w:sz w:val="20"/>
                <w:szCs w:val="20"/>
                <w:highlight w:val="none"/>
                <w:u w:val="single"/>
              </w:rPr>
            </w:pPr>
            <w:bookmarkStart w:id="17" w:name="_Hlk166785324"/>
            <w:r>
              <w:rPr>
                <w:b/>
                <w:bCs/>
                <w:sz w:val="20"/>
                <w:szCs w:val="20"/>
                <w:highlight w:val="none"/>
                <w:u w:val="single"/>
              </w:rPr>
              <w:t>Issue 1.2.4-2: MSD rules</w:t>
            </w:r>
          </w:p>
          <w:bookmarkEnd w:id="17"/>
          <w:p>
            <w:pPr>
              <w:keepNext/>
              <w:keepLines/>
              <w:pageBreakBefore w:val="0"/>
              <w:kinsoku/>
              <w:wordWrap/>
              <w:overflowPunct w:val="0"/>
              <w:topLinePunct w:val="0"/>
              <w:autoSpaceDE w:val="0"/>
              <w:autoSpaceDN w:val="0"/>
              <w:bidi w:val="0"/>
              <w:adjustRightInd w:val="0"/>
              <w:spacing w:after="180"/>
              <w:jc w:val="both"/>
              <w:textAlignment w:val="baseline"/>
              <w:rPr>
                <w:b/>
                <w:bCs/>
                <w:sz w:val="20"/>
                <w:szCs w:val="20"/>
                <w:highlight w:val="none"/>
                <w:lang w:eastAsia="zh-CN"/>
              </w:rPr>
            </w:pPr>
            <w:r>
              <w:rPr>
                <w:rFonts w:hint="eastAsia"/>
                <w:b/>
                <w:bCs/>
                <w:sz w:val="20"/>
                <w:szCs w:val="20"/>
                <w:highlight w:val="none"/>
                <w:lang w:eastAsia="zh-CN"/>
              </w:rPr>
              <w:t>A</w:t>
            </w:r>
            <w:r>
              <w:rPr>
                <w:b/>
                <w:bCs/>
                <w:sz w:val="20"/>
                <w:szCs w:val="20"/>
                <w:highlight w:val="none"/>
                <w:lang w:eastAsia="zh-CN"/>
              </w:rPr>
              <w:t xml:space="preserve">greement: </w:t>
            </w:r>
          </w:p>
          <w:p>
            <w:pPr>
              <w:pStyle w:val="34"/>
              <w:keepNext/>
              <w:keepLines/>
              <w:pageBreakBefore w:val="0"/>
              <w:numPr>
                <w:ilvl w:val="0"/>
                <w:numId w:val="9"/>
              </w:numPr>
              <w:kinsoku/>
              <w:wordWrap/>
              <w:overflowPunct w:val="0"/>
              <w:topLinePunct w:val="0"/>
              <w:autoSpaceDE w:val="0"/>
              <w:autoSpaceDN w:val="0"/>
              <w:bidi w:val="0"/>
              <w:adjustRightInd w:val="0"/>
              <w:spacing w:after="180"/>
              <w:textAlignment w:val="baseline"/>
              <w:rPr>
                <w:sz w:val="20"/>
                <w:szCs w:val="20"/>
                <w:highlight w:val="none"/>
              </w:rPr>
            </w:pPr>
            <w:r>
              <w:rPr>
                <w:rFonts w:eastAsiaTheme="minorEastAsia"/>
                <w:sz w:val="20"/>
                <w:szCs w:val="20"/>
                <w:highlight w:val="none"/>
              </w:rPr>
              <w:t xml:space="preserve">Work on the feasible </w:t>
            </w:r>
            <w:r>
              <w:rPr>
                <w:sz w:val="20"/>
                <w:szCs w:val="20"/>
                <w:highlight w:val="none"/>
              </w:rPr>
              <w:t xml:space="preserve">unified </w:t>
            </w:r>
            <w:r>
              <w:rPr>
                <w:kern w:val="2"/>
                <w:sz w:val="20"/>
                <w:szCs w:val="20"/>
                <w:highlight w:val="none"/>
              </w:rPr>
              <w:t>Equations/LUT/Simplified guidelines for MSD for HPUE band combinations</w:t>
            </w:r>
            <w:r>
              <w:rPr>
                <w:rFonts w:eastAsiaTheme="minorEastAsia"/>
                <w:sz w:val="20"/>
                <w:szCs w:val="20"/>
                <w:highlight w:val="none"/>
              </w:rPr>
              <w:t xml:space="preserve"> as normative requiremen</w:t>
            </w:r>
            <w:r>
              <w:rPr>
                <w:rFonts w:hint="eastAsia" w:eastAsiaTheme="minorEastAsia"/>
                <w:sz w:val="20"/>
                <w:szCs w:val="20"/>
                <w:highlight w:val="none"/>
              </w:rPr>
              <w:t>ts</w:t>
            </w:r>
          </w:p>
          <w:p>
            <w:pPr>
              <w:pStyle w:val="34"/>
              <w:keepNext/>
              <w:keepLines/>
              <w:pageBreakBefore w:val="0"/>
              <w:numPr>
                <w:ilvl w:val="1"/>
                <w:numId w:val="9"/>
              </w:numPr>
              <w:kinsoku/>
              <w:wordWrap/>
              <w:overflowPunct w:val="0"/>
              <w:topLinePunct w:val="0"/>
              <w:autoSpaceDE w:val="0"/>
              <w:autoSpaceDN w:val="0"/>
              <w:bidi w:val="0"/>
              <w:adjustRightInd w:val="0"/>
              <w:spacing w:after="180"/>
              <w:textAlignment w:val="baseline"/>
              <w:rPr>
                <w:sz w:val="20"/>
                <w:szCs w:val="20"/>
                <w:highlight w:val="none"/>
              </w:rPr>
            </w:pPr>
            <w:r>
              <w:rPr>
                <w:rFonts w:hint="eastAsia" w:eastAsiaTheme="minorEastAsia"/>
                <w:sz w:val="20"/>
                <w:szCs w:val="20"/>
                <w:highlight w:val="none"/>
              </w:rPr>
              <w:t>T</w:t>
            </w:r>
            <w:r>
              <w:rPr>
                <w:rFonts w:eastAsiaTheme="minorEastAsia"/>
                <w:sz w:val="20"/>
                <w:szCs w:val="20"/>
                <w:highlight w:val="none"/>
              </w:rPr>
              <w:t xml:space="preserve">argeting at introduction of </w:t>
            </w:r>
            <w:r>
              <w:rPr>
                <w:sz w:val="20"/>
                <w:szCs w:val="20"/>
                <w:highlight w:val="none"/>
              </w:rPr>
              <w:t xml:space="preserve">unified </w:t>
            </w:r>
            <w:r>
              <w:rPr>
                <w:kern w:val="2"/>
                <w:sz w:val="20"/>
                <w:szCs w:val="20"/>
                <w:highlight w:val="none"/>
              </w:rPr>
              <w:t xml:space="preserve">Equations/LUT/Simplified guidelines </w:t>
            </w:r>
            <w:r>
              <w:rPr>
                <w:rFonts w:eastAsiaTheme="minorEastAsia"/>
                <w:sz w:val="20"/>
                <w:szCs w:val="20"/>
                <w:highlight w:val="none"/>
              </w:rPr>
              <w:t>to replace the existing method using HPUE MSD tables</w:t>
            </w:r>
            <w:r>
              <w:rPr>
                <w:kern w:val="2"/>
                <w:sz w:val="20"/>
                <w:szCs w:val="20"/>
                <w:highlight w:val="none"/>
              </w:rPr>
              <w:t xml:space="preserve"> at the end of Rel-19 or earlier if agreed.</w:t>
            </w:r>
          </w:p>
          <w:p>
            <w:pPr>
              <w:pStyle w:val="34"/>
              <w:keepNext/>
              <w:keepLines/>
              <w:pageBreakBefore w:val="0"/>
              <w:numPr>
                <w:ilvl w:val="1"/>
                <w:numId w:val="9"/>
              </w:numPr>
              <w:kinsoku/>
              <w:wordWrap/>
              <w:overflowPunct w:val="0"/>
              <w:topLinePunct w:val="0"/>
              <w:autoSpaceDE w:val="0"/>
              <w:autoSpaceDN w:val="0"/>
              <w:bidi w:val="0"/>
              <w:adjustRightInd w:val="0"/>
              <w:spacing w:after="180"/>
              <w:textAlignment w:val="baseline"/>
              <w:rPr>
                <w:sz w:val="20"/>
                <w:szCs w:val="20"/>
                <w:highlight w:val="none"/>
              </w:rPr>
            </w:pPr>
            <w:r>
              <w:rPr>
                <w:rFonts w:hint="eastAsia"/>
                <w:kern w:val="2"/>
                <w:sz w:val="20"/>
                <w:szCs w:val="20"/>
                <w:highlight w:val="none"/>
              </w:rPr>
              <w:t>T</w:t>
            </w:r>
            <w:r>
              <w:rPr>
                <w:kern w:val="2"/>
                <w:sz w:val="20"/>
                <w:szCs w:val="20"/>
                <w:highlight w:val="none"/>
              </w:rPr>
              <w:t>he existing MSD requirements for band combinations for HUPE won’t be changed.</w:t>
            </w:r>
          </w:p>
          <w:p>
            <w:pPr>
              <w:pStyle w:val="34"/>
              <w:keepNext/>
              <w:keepLines/>
              <w:pageBreakBefore w:val="0"/>
              <w:numPr>
                <w:ilvl w:val="1"/>
                <w:numId w:val="9"/>
              </w:numPr>
              <w:kinsoku/>
              <w:wordWrap/>
              <w:overflowPunct w:val="0"/>
              <w:topLinePunct w:val="0"/>
              <w:autoSpaceDE w:val="0"/>
              <w:autoSpaceDN w:val="0"/>
              <w:bidi w:val="0"/>
              <w:adjustRightInd w:val="0"/>
              <w:spacing w:after="180"/>
              <w:textAlignment w:val="baseline"/>
              <w:rPr>
                <w:sz w:val="20"/>
                <w:szCs w:val="20"/>
                <w:highlight w:val="none"/>
              </w:rPr>
            </w:pPr>
            <w:r>
              <w:rPr>
                <w:rFonts w:hint="eastAsia"/>
                <w:kern w:val="2"/>
                <w:sz w:val="20"/>
                <w:szCs w:val="20"/>
                <w:highlight w:val="none"/>
              </w:rPr>
              <w:t>D</w:t>
            </w:r>
            <w:r>
              <w:rPr>
                <w:kern w:val="2"/>
                <w:sz w:val="20"/>
                <w:szCs w:val="20"/>
                <w:highlight w:val="none"/>
              </w:rPr>
              <w:t>iscuss whether the request procedure for HPUE band combinations should be kept</w:t>
            </w:r>
          </w:p>
          <w:p>
            <w:pPr>
              <w:pStyle w:val="34"/>
              <w:keepNext/>
              <w:keepLines/>
              <w:pageBreakBefore w:val="0"/>
              <w:numPr>
                <w:ilvl w:val="0"/>
                <w:numId w:val="9"/>
              </w:numPr>
              <w:kinsoku/>
              <w:wordWrap/>
              <w:overflowPunct w:val="0"/>
              <w:topLinePunct w:val="0"/>
              <w:autoSpaceDE w:val="0"/>
              <w:autoSpaceDN w:val="0"/>
              <w:bidi w:val="0"/>
              <w:adjustRightInd w:val="0"/>
              <w:spacing w:after="180"/>
              <w:textAlignment w:val="baseline"/>
              <w:rPr>
                <w:rFonts w:hint="eastAsia"/>
                <w:sz w:val="20"/>
                <w:szCs w:val="20"/>
                <w:highlight w:val="none"/>
                <w:vertAlign w:val="baseline"/>
                <w:lang w:val="en-US" w:eastAsia="zh-CN"/>
              </w:rPr>
            </w:pPr>
            <w:r>
              <w:rPr>
                <w:rFonts w:eastAsiaTheme="minorEastAsia"/>
                <w:sz w:val="20"/>
                <w:szCs w:val="20"/>
                <w:highlight w:val="none"/>
              </w:rPr>
              <w:t xml:space="preserve">For Rel-19, follow tradition procedure, including the request of HPUE band combinations, until the work on the feasible </w:t>
            </w:r>
            <w:r>
              <w:rPr>
                <w:sz w:val="20"/>
                <w:szCs w:val="20"/>
                <w:highlight w:val="none"/>
              </w:rPr>
              <w:t xml:space="preserve">unified </w:t>
            </w:r>
            <w:r>
              <w:rPr>
                <w:kern w:val="2"/>
                <w:sz w:val="20"/>
                <w:szCs w:val="20"/>
                <w:highlight w:val="none"/>
              </w:rPr>
              <w:t>Equations/LUT/Simplified guidelines is finished</w:t>
            </w:r>
            <w:r>
              <w:rPr>
                <w:rFonts w:hint="eastAsia" w:eastAsia="宋体"/>
                <w:kern w:val="2"/>
                <w:sz w:val="20"/>
                <w:szCs w:val="20"/>
                <w:highlight w:val="none"/>
                <w:lang w:val="en-US" w:eastAsia="zh-CN"/>
              </w:rPr>
              <w:t>.</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kern w:val="2"/>
          <w:sz w:val="20"/>
          <w:szCs w:val="20"/>
          <w:highlight w:val="none"/>
          <w:lang w:val="en-US" w:eastAsia="zh-CN"/>
        </w:rPr>
      </w:pPr>
      <w:r>
        <w:rPr>
          <w:rFonts w:hint="eastAsia"/>
          <w:sz w:val="20"/>
          <w:szCs w:val="20"/>
          <w:lang w:val="en-US" w:eastAsia="zh-CN"/>
        </w:rPr>
        <w:t>One of the issue is to d</w:t>
      </w:r>
      <w:r>
        <w:rPr>
          <w:kern w:val="2"/>
          <w:sz w:val="20"/>
          <w:szCs w:val="20"/>
          <w:highlight w:val="none"/>
        </w:rPr>
        <w:t>iscuss whether the request procedure for HPUE band combinations should be kept</w:t>
      </w:r>
      <w:r>
        <w:rPr>
          <w:rFonts w:hint="eastAsia"/>
          <w:kern w:val="2"/>
          <w:sz w:val="20"/>
          <w:szCs w:val="20"/>
          <w:highlight w:val="none"/>
          <w:lang w:val="en-US" w:eastAsia="zh-CN"/>
        </w:rPr>
        <w:t>. In our understanding, after the MSD rule for HPUE band combination is agreed, it will large impact on the HPUE band combination work since there are no technical issue for the HPUE band combination, which makes no TP to TR work for HPUE band combination, instead only draft CR work to introduce the new band combination. It will largely reduce the workload.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kern w:val="2"/>
          <w:sz w:val="20"/>
          <w:szCs w:val="20"/>
          <w:highlight w:val="none"/>
          <w:lang w:val="en-US" w:eastAsia="zh-CN"/>
        </w:rPr>
      </w:pPr>
      <w:r>
        <w:rPr>
          <w:rFonts w:hint="eastAsia"/>
          <w:kern w:val="2"/>
          <w:sz w:val="20"/>
          <w:szCs w:val="20"/>
          <w:highlight w:val="none"/>
          <w:lang w:val="en-US" w:eastAsia="zh-CN"/>
        </w:rPr>
        <w:t xml:space="preserve">If </w:t>
      </w:r>
      <w:r>
        <w:rPr>
          <w:kern w:val="2"/>
          <w:sz w:val="20"/>
          <w:szCs w:val="20"/>
          <w:highlight w:val="none"/>
        </w:rPr>
        <w:t xml:space="preserve">the request procedure for HPUE band combinations </w:t>
      </w:r>
      <w:r>
        <w:rPr>
          <w:rFonts w:hint="eastAsia"/>
          <w:kern w:val="2"/>
          <w:sz w:val="20"/>
          <w:szCs w:val="20"/>
          <w:highlight w:val="none"/>
          <w:lang w:val="en-US" w:eastAsia="zh-CN"/>
        </w:rPr>
        <w:t xml:space="preserve">is not </w:t>
      </w:r>
      <w:r>
        <w:rPr>
          <w:kern w:val="2"/>
          <w:sz w:val="20"/>
          <w:szCs w:val="20"/>
          <w:highlight w:val="none"/>
        </w:rPr>
        <w:t>kept</w:t>
      </w:r>
      <w:r>
        <w:rPr>
          <w:rFonts w:hint="eastAsia"/>
          <w:kern w:val="2"/>
          <w:sz w:val="20"/>
          <w:szCs w:val="20"/>
          <w:highlight w:val="none"/>
          <w:lang w:val="en-US" w:eastAsia="zh-CN"/>
        </w:rPr>
        <w:t>, then somehow it means there is no need to generate the HPUE basket WID in later release (i.e. Rel-20 and onward).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kern w:val="2"/>
          <w:sz w:val="20"/>
          <w:szCs w:val="20"/>
          <w:highlight w:val="none"/>
          <w:lang w:val="en-US" w:eastAsia="zh-CN"/>
        </w:rPr>
      </w:pPr>
      <w:r>
        <w:rPr>
          <w:rFonts w:hint="eastAsia"/>
          <w:b/>
          <w:bCs/>
          <w:kern w:val="2"/>
          <w:sz w:val="20"/>
          <w:szCs w:val="20"/>
          <w:highlight w:val="none"/>
          <w:lang w:val="en-US" w:eastAsia="zh-CN"/>
        </w:rPr>
        <w:t>Observation 2: With MSD rule, there are no technical issue for the HPUE band combination which makes it feasible to introduce the newly HPUE band combination via draft CR.</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kern w:val="2"/>
          <w:sz w:val="20"/>
          <w:szCs w:val="20"/>
          <w:highlight w:val="none"/>
          <w:lang w:val="en-US" w:eastAsia="zh-CN"/>
        </w:rPr>
      </w:pPr>
      <w:r>
        <w:rPr>
          <w:rFonts w:hint="eastAsia"/>
          <w:b/>
          <w:bCs/>
          <w:kern w:val="2"/>
          <w:sz w:val="20"/>
          <w:szCs w:val="20"/>
          <w:highlight w:val="none"/>
          <w:lang w:val="en-US" w:eastAsia="zh-CN"/>
        </w:rPr>
        <w:t xml:space="preserve">Observation 3: Without </w:t>
      </w:r>
      <w:r>
        <w:rPr>
          <w:b/>
          <w:bCs/>
          <w:kern w:val="2"/>
          <w:sz w:val="20"/>
          <w:szCs w:val="20"/>
          <w:highlight w:val="none"/>
        </w:rPr>
        <w:t>request procedure for HPUE band combinations</w:t>
      </w:r>
      <w:r>
        <w:rPr>
          <w:rFonts w:hint="eastAsia"/>
          <w:b/>
          <w:bCs/>
          <w:kern w:val="2"/>
          <w:sz w:val="20"/>
          <w:szCs w:val="20"/>
          <w:highlight w:val="none"/>
          <w:lang w:val="en-US" w:eastAsia="zh-CN"/>
        </w:rPr>
        <w:t>, there is no need to generate the HPUE band combination basket WID in later release (i.e. Rel-20 and onward).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In other words, without request procedure for HPUE band combination, all of the PC3 band combination will imply support HPUE band combination automatically.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sz w:val="20"/>
          <w:szCs w:val="20"/>
          <w:lang w:val="en-US" w:eastAsia="zh-CN"/>
        </w:rPr>
      </w:pPr>
      <w:r>
        <w:rPr>
          <w:rFonts w:hint="eastAsia"/>
          <w:sz w:val="20"/>
          <w:szCs w:val="20"/>
          <w:lang w:val="en-US" w:eastAsia="zh-CN"/>
        </w:rPr>
        <w:t xml:space="preserve">For the MSD rule, there are two options for the </w:t>
      </w:r>
      <w:r>
        <w:rPr>
          <w:rFonts w:hint="eastAsia"/>
          <w:sz w:val="20"/>
          <w:szCs w:val="20"/>
          <w:lang w:val="en-GB" w:eastAsia="en-GB"/>
        </w:rPr>
        <w:t>harmonic, receiver harmonic mixing and cross-band isolation interference</w:t>
      </w:r>
      <w:r>
        <w:rPr>
          <w:rFonts w:hint="eastAsia"/>
          <w:sz w:val="20"/>
          <w:szCs w:val="20"/>
          <w:lang w:val="en-US" w:eastAsia="zh-CN"/>
        </w:rPr>
        <w:t>,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napToGrid/>
              <w:spacing w:beforeLines="-2147483648" w:after="180" w:afterLines="-2147483648" w:line="400" w:lineRule="atLeast"/>
              <w:textAlignment w:val="auto"/>
              <w:rPr>
                <w:rFonts w:hint="eastAsia" w:eastAsia="宋体" w:cs="Times New Roman"/>
                <w:b/>
                <w:bCs/>
                <w:color w:val="0000FF"/>
                <w:kern w:val="2"/>
                <w:sz w:val="21"/>
                <w:szCs w:val="21"/>
                <w:u w:val="single"/>
                <w:lang w:val="en-US" w:eastAsia="zh-CN" w:bidi="ar-SA"/>
              </w:rPr>
            </w:pPr>
            <w:r>
              <w:rPr>
                <w:b/>
                <w:bCs/>
                <w:szCs w:val="24"/>
                <w:u w:val="single"/>
              </w:rPr>
              <w:t>WF on 1UL HPUE MSD simplification</w:t>
            </w:r>
            <w:r>
              <w:rPr>
                <w:rFonts w:hint="eastAsia" w:eastAsia="宋体"/>
                <w:b/>
                <w:bCs/>
                <w:szCs w:val="24"/>
                <w:u w:val="single"/>
                <w:lang w:eastAsia="zh-CN"/>
              </w:rPr>
              <w:t>：</w:t>
            </w:r>
          </w:p>
          <w:p>
            <w:pPr>
              <w:widowControl/>
              <w:overflowPunct w:val="0"/>
              <w:autoSpaceDE w:val="0"/>
              <w:autoSpaceDN w:val="0"/>
              <w:adjustRightInd w:val="0"/>
              <w:spacing w:beforeLines="-2147483648" w:after="240" w:afterLines="-2147483648" w:line="240" w:lineRule="auto"/>
              <w:jc w:val="left"/>
              <w:textAlignment w:val="baseline"/>
              <w:rPr>
                <w:rFonts w:ascii="Times New Roman" w:hAnsi="Times New Roman" w:eastAsia="等线" w:cs="Times New Roman"/>
                <w:b/>
                <w:bCs/>
                <w:kern w:val="0"/>
                <w:sz w:val="20"/>
                <w:szCs w:val="20"/>
                <w:lang w:val="en-GB" w:eastAsia="en-GB"/>
              </w:rPr>
            </w:pPr>
            <w:r>
              <w:rPr>
                <w:rFonts w:ascii="Times New Roman" w:hAnsi="Times New Roman" w:eastAsia="等线" w:cs="Times New Roman"/>
                <w:b/>
                <w:bCs/>
                <w:kern w:val="0"/>
                <w:sz w:val="20"/>
                <w:szCs w:val="20"/>
                <w:lang w:val="en-GB" w:eastAsia="en-GB"/>
              </w:rPr>
              <w:t xml:space="preserve">Agreement: </w:t>
            </w:r>
          </w:p>
          <w:p>
            <w:pPr>
              <w:widowControl w:val="0"/>
              <w:numPr>
                <w:ilvl w:val="0"/>
                <w:numId w:val="8"/>
              </w:numPr>
              <w:overflowPunct w:val="0"/>
              <w:autoSpaceDE w:val="0"/>
              <w:autoSpaceDN w:val="0"/>
              <w:adjustRightInd w:val="0"/>
              <w:spacing w:beforeLines="-2147483648" w:after="180" w:afterLines="-2147483648" w:line="240" w:lineRule="auto"/>
              <w:ind w:left="420" w:hanging="420" w:firstLineChars="0"/>
              <w:textAlignment w:val="baseline"/>
              <w:rPr>
                <w:rFonts w:ascii="Times New Roman" w:hAnsi="Times New Roman" w:eastAsia="Times New Roman" w:cs="Times New Roman"/>
                <w:b/>
                <w:bCs/>
                <w:szCs w:val="24"/>
                <w:lang w:val="en-GB" w:eastAsia="en-GB" w:bidi="ar-SA"/>
              </w:rPr>
            </w:pPr>
            <w:r>
              <w:rPr>
                <w:rFonts w:ascii="Times New Roman" w:hAnsi="Times New Roman" w:eastAsia="宋体" w:cs="Times New Roman"/>
                <w:b/>
                <w:bCs/>
                <w:szCs w:val="24"/>
                <w:lang w:val="en-US" w:eastAsia="zh-CN" w:bidi="ar-SA"/>
              </w:rPr>
              <w:t xml:space="preserve">For new Rel-19 inter-band CA combinations within FR1, and </w:t>
            </w:r>
            <w:r>
              <w:rPr>
                <w:rFonts w:ascii="Times New Roman" w:hAnsi="Times New Roman" w:eastAsia="Times New Roman" w:cs="Times New Roman"/>
                <w:b/>
                <w:bCs/>
                <w:szCs w:val="24"/>
                <w:lang w:val="en-GB" w:eastAsia="en-GB" w:bidi="ar-SA"/>
              </w:rPr>
              <w:t xml:space="preserve">for MSD due to </w:t>
            </w:r>
            <w:r>
              <w:rPr>
                <w:rFonts w:ascii="Times New Roman" w:hAnsi="Times New Roman" w:eastAsia="Times New Roman" w:cs="Times New Roman"/>
                <w:b/>
                <w:bCs/>
                <w:szCs w:val="24"/>
                <w:highlight w:val="yellow"/>
                <w:lang w:val="en-GB" w:eastAsia="en-GB" w:bidi="ar-SA"/>
              </w:rPr>
              <w:t>harmonic, receiver harmonic mixing and cross-band isolation interferenc</w:t>
            </w:r>
            <w:r>
              <w:rPr>
                <w:rFonts w:ascii="Times New Roman" w:hAnsi="Times New Roman" w:eastAsia="Times New Roman" w:cs="Times New Roman"/>
                <w:b/>
                <w:bCs/>
                <w:szCs w:val="24"/>
                <w:lang w:val="en-GB" w:eastAsia="en-GB" w:bidi="ar-SA"/>
              </w:rPr>
              <w:t>e,</w:t>
            </w:r>
            <w:r>
              <w:rPr>
                <w:rFonts w:ascii="Times New Roman" w:hAnsi="Times New Roman" w:eastAsia="宋体" w:cs="Times New Roman"/>
                <w:b/>
                <w:bCs/>
                <w:szCs w:val="24"/>
                <w:lang w:val="en-US" w:eastAsia="zh-CN" w:bidi="ar-SA"/>
              </w:rPr>
              <w:t xml:space="preserve"> the 1UL HPUE MSD requirements are specified </w:t>
            </w:r>
            <w:bookmarkStart w:id="18" w:name="_Hlk183015941"/>
            <w:r>
              <w:rPr>
                <w:rFonts w:ascii="Times New Roman" w:hAnsi="Times New Roman" w:eastAsia="Times New Roman" w:cs="Times New Roman"/>
                <w:b/>
                <w:bCs/>
                <w:szCs w:val="24"/>
                <w:lang w:val="en-GB" w:eastAsia="en-GB" w:bidi="ar-SA"/>
              </w:rPr>
              <w:t xml:space="preserve">using a </w:t>
            </w:r>
            <w:r>
              <w:rPr>
                <w:rFonts w:ascii="Times New Roman" w:hAnsi="Times New Roman" w:eastAsia="Times New Roman" w:cs="Times New Roman"/>
                <w:b/>
                <w:bCs/>
                <w:szCs w:val="24"/>
                <w:highlight w:val="yellow"/>
                <w:lang w:val="en-GB" w:eastAsia="en-GB" w:bidi="ar-SA"/>
              </w:rPr>
              <w:t>delta MSD relative to the default power class 3 MSD</w:t>
            </w:r>
            <w:r>
              <w:rPr>
                <w:rFonts w:ascii="Times New Roman" w:hAnsi="Times New Roman" w:eastAsia="Times New Roman" w:cs="Times New Roman"/>
                <w:b/>
                <w:bCs/>
                <w:szCs w:val="24"/>
                <w:lang w:val="en-GB" w:eastAsia="en-GB" w:bidi="ar-SA"/>
              </w:rPr>
              <w:t xml:space="preserve"> as:</w:t>
            </w:r>
          </w:p>
          <w:p>
            <w:pPr>
              <w:widowControl/>
              <w:overflowPunct/>
              <w:autoSpaceDE/>
              <w:autoSpaceDN/>
              <w:adjustRightInd/>
              <w:spacing w:beforeLines="-2147483648" w:after="0" w:afterLines="-2147483648" w:line="240" w:lineRule="auto"/>
              <w:ind w:left="720"/>
              <w:contextualSpacing/>
              <w:jc w:val="center"/>
              <w:textAlignment w:val="auto"/>
              <w:rPr>
                <w:rFonts w:ascii="Times New Roman" w:hAnsi="Times New Roman" w:eastAsia="宋体" w:cs="Times New Roman"/>
                <w:b/>
                <w:bCs/>
                <w:kern w:val="0"/>
                <w:sz w:val="20"/>
                <w:szCs w:val="20"/>
                <w:lang w:val="en-US" w:eastAsia="zh-CN"/>
              </w:rPr>
            </w:pPr>
            <w:r>
              <w:rPr>
                <w:rFonts w:ascii="Times New Roman" w:hAnsi="Times New Roman" w:eastAsia="宋体" w:cs="Times New Roman"/>
                <w:b/>
                <w:bCs/>
                <w:kern w:val="0"/>
                <w:sz w:val="20"/>
                <w:szCs w:val="20"/>
                <w:lang w:val="en-US" w:eastAsia="zh-CN"/>
              </w:rPr>
              <w:t>PCx MSD = PC3</w:t>
            </w:r>
            <w:r>
              <w:rPr>
                <w:rFonts w:ascii="Times New Roman" w:hAnsi="Times New Roman" w:eastAsia="宋体" w:cs="Times New Roman"/>
                <w:b/>
                <w:bCs/>
                <w:kern w:val="0"/>
                <w:sz w:val="20"/>
                <w:szCs w:val="20"/>
                <w:vertAlign w:val="subscript"/>
                <w:lang w:val="en-US" w:eastAsia="zh-CN"/>
              </w:rPr>
              <w:t>1Tx</w:t>
            </w:r>
            <w:r>
              <w:rPr>
                <w:rFonts w:ascii="Times New Roman" w:hAnsi="Times New Roman" w:eastAsia="宋体" w:cs="Times New Roman"/>
                <w:b/>
                <w:bCs/>
                <w:kern w:val="0"/>
                <w:sz w:val="20"/>
                <w:szCs w:val="20"/>
                <w:lang w:val="en-US" w:eastAsia="zh-CN"/>
              </w:rPr>
              <w:t xml:space="preserve"> MSD + </w:t>
            </w:r>
            <w:bookmarkStart w:id="19" w:name="_Hlk183015969"/>
            <w:r>
              <w:rPr>
                <w:rFonts w:ascii="Times New Roman" w:hAnsi="Times New Roman" w:eastAsia="宋体" w:cs="Times New Roman"/>
                <w:b/>
                <w:bCs/>
                <w:kern w:val="0"/>
                <w:sz w:val="20"/>
                <w:szCs w:val="20"/>
                <w:lang w:val="en-US" w:eastAsia="zh-CN"/>
              </w:rPr>
              <w:sym w:font="Symbol" w:char="F044"/>
            </w:r>
            <w:bookmarkEnd w:id="19"/>
            <w:r>
              <w:rPr>
                <w:rFonts w:ascii="Times New Roman" w:hAnsi="Times New Roman" w:eastAsia="宋体" w:cs="Times New Roman"/>
                <w:b/>
                <w:bCs/>
                <w:kern w:val="0"/>
                <w:sz w:val="20"/>
                <w:szCs w:val="20"/>
                <w:lang w:val="en-US" w:eastAsia="zh-CN"/>
              </w:rPr>
              <w:t>PCx, where x = 2 for PC2 or x=1.5 for PC1.5,</w:t>
            </w:r>
          </w:p>
          <w:bookmarkEnd w:id="18"/>
          <w:p>
            <w:pPr>
              <w:widowControl w:val="0"/>
              <w:numPr>
                <w:ilvl w:val="1"/>
                <w:numId w:val="8"/>
              </w:numPr>
              <w:overflowPunct w:val="0"/>
              <w:autoSpaceDE w:val="0"/>
              <w:autoSpaceDN w:val="0"/>
              <w:adjustRightInd w:val="0"/>
              <w:spacing w:beforeLines="-2147483648" w:after="0" w:afterLines="-2147483648" w:line="240" w:lineRule="auto"/>
              <w:ind w:left="840" w:hanging="420" w:firstLineChars="0"/>
              <w:textAlignment w:val="baseline"/>
              <w:rPr>
                <w:rFonts w:ascii="Times New Roman" w:hAnsi="Times New Roman" w:eastAsia="宋体" w:cs="Times New Roman"/>
                <w:b/>
                <w:bCs/>
                <w:szCs w:val="24"/>
                <w:lang w:val="en-US" w:eastAsia="zh-CN" w:bidi="ar-SA"/>
              </w:rPr>
            </w:pPr>
            <w:r>
              <w:rPr>
                <w:rFonts w:ascii="Times New Roman" w:hAnsi="Times New Roman" w:eastAsia="宋体" w:cs="Times New Roman"/>
                <w:b/>
                <w:bCs/>
                <w:szCs w:val="24"/>
                <w:lang w:val="en-US" w:eastAsia="zh-CN" w:bidi="ar-SA"/>
              </w:rPr>
              <w:t>Companies are invited to evaluate two options,</w:t>
            </w:r>
          </w:p>
          <w:p>
            <w:pPr>
              <w:widowControl w:val="0"/>
              <w:numPr>
                <w:ilvl w:val="0"/>
                <w:numId w:val="10"/>
              </w:numPr>
              <w:overflowPunct w:val="0"/>
              <w:autoSpaceDE w:val="0"/>
              <w:autoSpaceDN w:val="0"/>
              <w:adjustRightInd w:val="0"/>
              <w:spacing w:beforeLines="-2147483648" w:after="0" w:afterLines="-2147483648" w:line="240" w:lineRule="auto"/>
              <w:ind w:left="1080" w:hanging="420" w:firstLineChars="0"/>
              <w:textAlignment w:val="baseline"/>
              <w:rPr>
                <w:rFonts w:ascii="Times New Roman" w:hAnsi="Times New Roman" w:eastAsia="宋体" w:cs="Times New Roman"/>
                <w:b/>
                <w:bCs/>
                <w:szCs w:val="24"/>
                <w:lang w:val="en-US" w:eastAsia="zh-CN" w:bidi="ar-SA"/>
              </w:rPr>
            </w:pPr>
            <w:r>
              <w:rPr>
                <w:rFonts w:ascii="Times New Roman" w:hAnsi="Times New Roman" w:eastAsia="宋体" w:cs="Times New Roman"/>
                <w:b/>
                <w:bCs/>
                <w:szCs w:val="24"/>
                <w:lang w:val="en-US" w:eastAsia="zh-CN" w:bidi="ar-SA"/>
              </w:rPr>
              <w:t>option 1: RAN4 keeps on specifying two sets PC2 requirements [4,5]:</w:t>
            </w:r>
          </w:p>
          <w:p>
            <w:pPr>
              <w:widowControl/>
              <w:numPr>
                <w:ilvl w:val="1"/>
                <w:numId w:val="11"/>
              </w:numPr>
              <w:overflowPunct/>
              <w:autoSpaceDE/>
              <w:autoSpaceDN/>
              <w:adjustRightInd/>
              <w:spacing w:beforeLines="-2147483648" w:after="0" w:afterLines="-2147483648" w:line="240" w:lineRule="auto"/>
              <w:ind w:left="1380"/>
              <w:contextualSpacing/>
              <w:jc w:val="left"/>
              <w:textAlignment w:val="auto"/>
              <w:rPr>
                <w:rFonts w:ascii="Times New Roman" w:hAnsi="Times New Roman" w:eastAsia="宋体" w:cs="Times New Roman"/>
                <w:b/>
                <w:bCs/>
                <w:kern w:val="0"/>
                <w:sz w:val="20"/>
                <w:szCs w:val="20"/>
                <w:lang w:val="en-US" w:eastAsia="zh-CN"/>
              </w:rPr>
            </w:pPr>
            <w:r>
              <w:rPr>
                <w:rFonts w:ascii="Times New Roman" w:hAnsi="Times New Roman" w:eastAsia="宋体" w:cs="Times New Roman"/>
                <w:b/>
                <w:bCs/>
                <w:kern w:val="0"/>
                <w:sz w:val="20"/>
                <w:szCs w:val="20"/>
                <w:lang w:val="en-US" w:eastAsia="zh-CN"/>
              </w:rPr>
              <w:t xml:space="preserve">one LUT/equation for </w:t>
            </w:r>
            <w:r>
              <w:rPr>
                <w:rFonts w:ascii="Times New Roman" w:hAnsi="Times New Roman" w:eastAsia="宋体" w:cs="Times New Roman"/>
                <w:b/>
                <w:bCs/>
                <w:kern w:val="0"/>
                <w:sz w:val="20"/>
                <w:szCs w:val="20"/>
                <w:lang w:val="en-US" w:eastAsia="zh-CN"/>
              </w:rPr>
              <w:sym w:font="Symbol" w:char="F044"/>
            </w:r>
            <w:r>
              <w:rPr>
                <w:rFonts w:ascii="Times New Roman" w:hAnsi="Times New Roman" w:eastAsia="宋体" w:cs="Times New Roman"/>
                <w:b/>
                <w:bCs/>
                <w:kern w:val="0"/>
                <w:sz w:val="20"/>
                <w:szCs w:val="20"/>
                <w:lang w:val="en-US" w:eastAsia="zh-CN"/>
              </w:rPr>
              <w:t>PC2 1Tx: PC2</w:t>
            </w:r>
            <w:r>
              <w:rPr>
                <w:rFonts w:ascii="Times New Roman Bold" w:hAnsi="Times New Roman Bold" w:eastAsia="宋体" w:cs="Times New Roman"/>
                <w:b/>
                <w:bCs/>
                <w:kern w:val="0"/>
                <w:sz w:val="20"/>
                <w:szCs w:val="20"/>
                <w:vertAlign w:val="subscript"/>
                <w:lang w:val="en-US" w:eastAsia="zh-CN"/>
              </w:rPr>
              <w:t>1Tx</w:t>
            </w:r>
            <w:r>
              <w:rPr>
                <w:rFonts w:ascii="Times New Roman" w:hAnsi="Times New Roman" w:eastAsia="宋体" w:cs="Times New Roman"/>
                <w:b/>
                <w:bCs/>
                <w:kern w:val="0"/>
                <w:sz w:val="20"/>
                <w:szCs w:val="20"/>
                <w:lang w:val="en-US" w:eastAsia="zh-CN"/>
              </w:rPr>
              <w:t xml:space="preserve"> MSD = PC3</w:t>
            </w:r>
            <w:r>
              <w:rPr>
                <w:rFonts w:ascii="Times New Roman" w:hAnsi="Times New Roman" w:eastAsia="宋体" w:cs="Times New Roman"/>
                <w:b/>
                <w:bCs/>
                <w:kern w:val="0"/>
                <w:sz w:val="20"/>
                <w:szCs w:val="20"/>
                <w:vertAlign w:val="subscript"/>
                <w:lang w:val="en-US" w:eastAsia="zh-CN"/>
              </w:rPr>
              <w:t>1Tx</w:t>
            </w:r>
            <w:r>
              <w:rPr>
                <w:rFonts w:ascii="Times New Roman" w:hAnsi="Times New Roman" w:eastAsia="宋体" w:cs="Times New Roman"/>
                <w:b/>
                <w:bCs/>
                <w:kern w:val="0"/>
                <w:sz w:val="20"/>
                <w:szCs w:val="20"/>
                <w:lang w:val="en-US" w:eastAsia="zh-CN"/>
              </w:rPr>
              <w:t xml:space="preserve"> MSD + </w:t>
            </w:r>
            <w:r>
              <w:rPr>
                <w:rFonts w:ascii="Times New Roman" w:hAnsi="Times New Roman" w:eastAsia="宋体" w:cs="Times New Roman"/>
                <w:b/>
                <w:bCs/>
                <w:kern w:val="0"/>
                <w:sz w:val="20"/>
                <w:szCs w:val="20"/>
                <w:lang w:val="en-US" w:eastAsia="zh-CN"/>
              </w:rPr>
              <w:sym w:font="Symbol" w:char="F044"/>
            </w:r>
            <w:r>
              <w:rPr>
                <w:rFonts w:ascii="Times New Roman" w:hAnsi="Times New Roman" w:eastAsia="宋体" w:cs="Times New Roman"/>
                <w:b/>
                <w:bCs/>
                <w:kern w:val="0"/>
                <w:sz w:val="20"/>
                <w:szCs w:val="20"/>
                <w:lang w:val="en-US" w:eastAsia="zh-CN"/>
              </w:rPr>
              <w:t>PC2</w:t>
            </w:r>
            <w:r>
              <w:rPr>
                <w:rFonts w:ascii="Times New Roman Bold" w:hAnsi="Times New Roman Bold" w:eastAsia="宋体" w:cs="Times New Roman"/>
                <w:b/>
                <w:bCs/>
                <w:kern w:val="0"/>
                <w:sz w:val="20"/>
                <w:szCs w:val="20"/>
                <w:vertAlign w:val="subscript"/>
                <w:lang w:val="en-US" w:eastAsia="zh-CN"/>
              </w:rPr>
              <w:t>1Tx</w:t>
            </w:r>
            <w:r>
              <w:rPr>
                <w:rFonts w:ascii="Times New Roman Bold" w:hAnsi="Times New Roman Bold" w:eastAsia="宋体" w:cs="Times New Roman"/>
                <w:b/>
                <w:bCs/>
                <w:kern w:val="0"/>
                <w:sz w:val="20"/>
                <w:szCs w:val="20"/>
                <w:lang w:val="en-US" w:eastAsia="zh-CN"/>
              </w:rPr>
              <w:t>, e.g. plateau at ~3dB,</w:t>
            </w:r>
          </w:p>
          <w:p>
            <w:pPr>
              <w:widowControl/>
              <w:numPr>
                <w:ilvl w:val="1"/>
                <w:numId w:val="11"/>
              </w:numPr>
              <w:overflowPunct/>
              <w:autoSpaceDE/>
              <w:autoSpaceDN/>
              <w:adjustRightInd/>
              <w:spacing w:beforeLines="-2147483648" w:after="120" w:afterLines="-2147483648" w:line="240" w:lineRule="auto"/>
              <w:ind w:left="1380"/>
              <w:contextualSpacing/>
              <w:jc w:val="left"/>
              <w:textAlignment w:val="auto"/>
              <w:rPr>
                <w:rFonts w:ascii="Times New Roman" w:hAnsi="Times New Roman" w:eastAsia="宋体" w:cs="Times New Roman"/>
                <w:b/>
                <w:bCs/>
                <w:kern w:val="0"/>
                <w:sz w:val="20"/>
                <w:szCs w:val="20"/>
                <w:lang w:val="en-US" w:eastAsia="zh-CN"/>
              </w:rPr>
            </w:pPr>
            <w:r>
              <w:rPr>
                <w:rFonts w:ascii="Times New Roman" w:hAnsi="Times New Roman" w:eastAsia="宋体" w:cs="Times New Roman"/>
                <w:b/>
                <w:bCs/>
                <w:kern w:val="0"/>
                <w:sz w:val="20"/>
                <w:szCs w:val="20"/>
                <w:lang w:val="en-US" w:eastAsia="zh-CN"/>
              </w:rPr>
              <w:t xml:space="preserve">one LUT/equation for </w:t>
            </w:r>
            <w:r>
              <w:rPr>
                <w:rFonts w:ascii="Times New Roman" w:hAnsi="Times New Roman" w:eastAsia="宋体" w:cs="Times New Roman"/>
                <w:b/>
                <w:bCs/>
                <w:kern w:val="0"/>
                <w:sz w:val="20"/>
                <w:szCs w:val="20"/>
                <w:lang w:val="en-US" w:eastAsia="zh-CN"/>
              </w:rPr>
              <w:sym w:font="Symbol" w:char="F044"/>
            </w:r>
            <w:r>
              <w:rPr>
                <w:rFonts w:ascii="Times New Roman" w:hAnsi="Times New Roman" w:eastAsia="宋体" w:cs="Times New Roman"/>
                <w:b/>
                <w:bCs/>
                <w:kern w:val="0"/>
                <w:sz w:val="20"/>
                <w:szCs w:val="20"/>
                <w:lang w:val="en-US" w:eastAsia="zh-CN"/>
              </w:rPr>
              <w:t>PC2 2Tx: PC2</w:t>
            </w:r>
            <w:r>
              <w:rPr>
                <w:rFonts w:ascii="Times New Roman Bold" w:hAnsi="Times New Roman Bold" w:eastAsia="宋体" w:cs="Times New Roman"/>
                <w:b/>
                <w:bCs/>
                <w:kern w:val="0"/>
                <w:sz w:val="20"/>
                <w:szCs w:val="20"/>
                <w:vertAlign w:val="subscript"/>
                <w:lang w:val="en-US" w:eastAsia="zh-CN"/>
              </w:rPr>
              <w:t>2Tx</w:t>
            </w:r>
            <w:r>
              <w:rPr>
                <w:rFonts w:ascii="Times New Roman" w:hAnsi="Times New Roman" w:eastAsia="宋体" w:cs="Times New Roman"/>
                <w:b/>
                <w:bCs/>
                <w:kern w:val="0"/>
                <w:sz w:val="20"/>
                <w:szCs w:val="20"/>
                <w:lang w:val="en-US" w:eastAsia="zh-CN"/>
              </w:rPr>
              <w:t xml:space="preserve"> MSD = PC3</w:t>
            </w:r>
            <w:r>
              <w:rPr>
                <w:rFonts w:ascii="Times New Roman" w:hAnsi="Times New Roman" w:eastAsia="宋体" w:cs="Times New Roman"/>
                <w:b/>
                <w:bCs/>
                <w:kern w:val="0"/>
                <w:sz w:val="20"/>
                <w:szCs w:val="20"/>
                <w:vertAlign w:val="subscript"/>
                <w:lang w:val="en-US" w:eastAsia="zh-CN"/>
              </w:rPr>
              <w:t>1Tx</w:t>
            </w:r>
            <w:r>
              <w:rPr>
                <w:rFonts w:ascii="Times New Roman" w:hAnsi="Times New Roman" w:eastAsia="宋体" w:cs="Times New Roman"/>
                <w:b/>
                <w:bCs/>
                <w:kern w:val="0"/>
                <w:sz w:val="20"/>
                <w:szCs w:val="20"/>
                <w:lang w:val="en-US" w:eastAsia="zh-CN"/>
              </w:rPr>
              <w:t xml:space="preserve"> MSD + </w:t>
            </w:r>
            <w:r>
              <w:rPr>
                <w:rFonts w:ascii="Times New Roman" w:hAnsi="Times New Roman" w:eastAsia="宋体" w:cs="Times New Roman"/>
                <w:b/>
                <w:bCs/>
                <w:kern w:val="0"/>
                <w:sz w:val="20"/>
                <w:szCs w:val="20"/>
                <w:lang w:val="en-US" w:eastAsia="zh-CN"/>
              </w:rPr>
              <w:sym w:font="Symbol" w:char="F044"/>
            </w:r>
            <w:r>
              <w:rPr>
                <w:rFonts w:ascii="Times New Roman" w:hAnsi="Times New Roman" w:eastAsia="宋体" w:cs="Times New Roman"/>
                <w:b/>
                <w:bCs/>
                <w:kern w:val="0"/>
                <w:sz w:val="20"/>
                <w:szCs w:val="20"/>
                <w:lang w:val="en-US" w:eastAsia="zh-CN"/>
              </w:rPr>
              <w:t>PC2</w:t>
            </w:r>
            <w:r>
              <w:rPr>
                <w:rFonts w:ascii="Times New Roman Bold" w:hAnsi="Times New Roman Bold" w:eastAsia="宋体" w:cs="Times New Roman"/>
                <w:b/>
                <w:bCs/>
                <w:kern w:val="0"/>
                <w:sz w:val="20"/>
                <w:szCs w:val="20"/>
                <w:vertAlign w:val="subscript"/>
                <w:lang w:val="en-US" w:eastAsia="zh-CN"/>
              </w:rPr>
              <w:t>2Tx</w:t>
            </w:r>
            <w:r>
              <w:rPr>
                <w:rFonts w:ascii="Times New Roman Bold" w:hAnsi="Times New Roman Bold" w:eastAsia="宋体" w:cs="Times New Roman"/>
                <w:b/>
                <w:bCs/>
                <w:kern w:val="0"/>
                <w:sz w:val="20"/>
                <w:szCs w:val="20"/>
                <w:lang w:val="en-US" w:eastAsia="zh-CN"/>
              </w:rPr>
              <w:t xml:space="preserve">, e.g. plateau at ~8dB, </w:t>
            </w:r>
          </w:p>
          <w:p>
            <w:pPr>
              <w:widowControl w:val="0"/>
              <w:numPr>
                <w:ilvl w:val="0"/>
                <w:numId w:val="10"/>
              </w:numPr>
              <w:overflowPunct w:val="0"/>
              <w:autoSpaceDE w:val="0"/>
              <w:autoSpaceDN w:val="0"/>
              <w:adjustRightInd w:val="0"/>
              <w:spacing w:beforeLines="-2147483648" w:after="0" w:afterLines="-2147483648" w:line="240" w:lineRule="auto"/>
              <w:ind w:left="1080" w:hanging="420" w:firstLineChars="0"/>
              <w:textAlignment w:val="baseline"/>
              <w:rPr>
                <w:rFonts w:ascii="Times New Roman" w:hAnsi="Times New Roman" w:eastAsia="宋体" w:cs="Times New Roman"/>
                <w:b/>
                <w:bCs/>
                <w:kern w:val="2"/>
                <w:sz w:val="21"/>
                <w:szCs w:val="24"/>
                <w:lang w:val="en-US" w:eastAsia="zh-CN" w:bidi="ar-SA"/>
              </w:rPr>
            </w:pPr>
            <w:r>
              <w:rPr>
                <w:rFonts w:ascii="Times New Roman" w:hAnsi="Times New Roman" w:eastAsia="宋体" w:cs="Times New Roman"/>
                <w:b/>
                <w:bCs/>
                <w:kern w:val="2"/>
                <w:sz w:val="21"/>
                <w:szCs w:val="24"/>
                <w:lang w:val="en-US" w:eastAsia="zh-CN" w:bidi="ar-SA"/>
              </w:rPr>
              <w:t xml:space="preserve">option 2: RAN4 specifies a single set PC2 requirement [3]: </w:t>
            </w:r>
          </w:p>
          <w:p>
            <w:pPr>
              <w:widowControl/>
              <w:numPr>
                <w:ilvl w:val="1"/>
                <w:numId w:val="11"/>
              </w:numPr>
              <w:overflowPunct/>
              <w:autoSpaceDE/>
              <w:autoSpaceDN/>
              <w:adjustRightInd/>
              <w:spacing w:beforeLines="-2147483648" w:after="0" w:afterLines="-2147483648" w:line="240" w:lineRule="auto"/>
              <w:ind w:left="1380"/>
              <w:contextualSpacing/>
              <w:jc w:val="left"/>
              <w:textAlignment w:val="auto"/>
              <w:rPr>
                <w:rFonts w:hint="eastAsia"/>
                <w:sz w:val="20"/>
                <w:szCs w:val="20"/>
                <w:vertAlign w:val="baseline"/>
                <w:lang w:val="en-US" w:eastAsia="zh-CN"/>
              </w:rPr>
            </w:pPr>
            <w:r>
              <w:rPr>
                <w:rFonts w:ascii="Times New Roman" w:hAnsi="Times New Roman" w:eastAsia="宋体" w:cs="Times New Roman"/>
                <w:b/>
                <w:bCs/>
                <w:szCs w:val="24"/>
                <w:lang w:val="en-US" w:eastAsia="zh-CN" w:bidi="ar-SA"/>
              </w:rPr>
              <w:t xml:space="preserve">one </w:t>
            </w:r>
            <w:r>
              <w:rPr>
                <w:rFonts w:ascii="Times New Roman" w:hAnsi="Times New Roman" w:eastAsia="宋体" w:cs="Times New Roman"/>
                <w:b/>
                <w:bCs/>
                <w:szCs w:val="24"/>
                <w:lang w:val="en-US" w:eastAsia="zh-CN" w:bidi="ar-SA"/>
              </w:rPr>
              <w:sym w:font="Symbol" w:char="F044"/>
            </w:r>
            <w:r>
              <w:rPr>
                <w:rFonts w:ascii="Times New Roman" w:hAnsi="Times New Roman" w:eastAsia="宋体" w:cs="Times New Roman"/>
                <w:b/>
                <w:bCs/>
                <w:szCs w:val="24"/>
                <w:lang w:val="en-US" w:eastAsia="zh-CN" w:bidi="ar-SA"/>
              </w:rPr>
              <w:t>PC2 LUT/equation PC2 MSD = PC3</w:t>
            </w:r>
            <w:r>
              <w:rPr>
                <w:rFonts w:ascii="Times New Roman" w:hAnsi="Times New Roman" w:eastAsia="宋体" w:cs="Times New Roman"/>
                <w:b/>
                <w:bCs/>
                <w:szCs w:val="24"/>
                <w:vertAlign w:val="subscript"/>
                <w:lang w:val="en-US" w:eastAsia="zh-CN" w:bidi="ar-SA"/>
              </w:rPr>
              <w:t>1Tx</w:t>
            </w:r>
            <w:r>
              <w:rPr>
                <w:rFonts w:ascii="Times New Roman" w:hAnsi="Times New Roman" w:eastAsia="宋体" w:cs="Times New Roman"/>
                <w:b/>
                <w:bCs/>
                <w:szCs w:val="24"/>
                <w:lang w:val="en-US" w:eastAsia="zh-CN" w:bidi="ar-SA"/>
              </w:rPr>
              <w:t xml:space="preserve"> MSD + </w:t>
            </w:r>
            <w:r>
              <w:rPr>
                <w:rFonts w:ascii="Times New Roman" w:hAnsi="Times New Roman" w:eastAsia="宋体" w:cs="Times New Roman"/>
                <w:b/>
                <w:bCs/>
                <w:szCs w:val="24"/>
                <w:lang w:val="en-US" w:eastAsia="zh-CN" w:bidi="ar-SA"/>
              </w:rPr>
              <w:sym w:font="Symbol" w:char="F044"/>
            </w:r>
            <w:r>
              <w:rPr>
                <w:rFonts w:ascii="Times New Roman" w:hAnsi="Times New Roman" w:eastAsia="宋体" w:cs="Times New Roman"/>
                <w:b/>
                <w:bCs/>
                <w:szCs w:val="24"/>
                <w:lang w:val="en-US" w:eastAsia="zh-CN" w:bidi="ar-SA"/>
              </w:rPr>
              <w:t>PC2, e.g. plateau at ~6dB</w:t>
            </w:r>
            <w:r>
              <w:rPr>
                <w:rFonts w:hint="eastAsia" w:cs="Times New Roman"/>
                <w:b/>
                <w:bCs/>
                <w:szCs w:val="24"/>
                <w:lang w:val="en-US" w:eastAsia="zh-CN" w:bidi="ar-SA"/>
              </w:rPr>
              <w:t>.</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Although either option can workable, we slight prefer Option 1 to use two sets PC2 requirements for the feasibility, and also 1Tx is the baseline assumption for the </w:t>
      </w:r>
      <w:r>
        <w:rPr>
          <w:rFonts w:hint="eastAsia"/>
          <w:sz w:val="20"/>
          <w:szCs w:val="20"/>
          <w:lang w:val="en-GB" w:eastAsia="en-GB"/>
        </w:rPr>
        <w:t xml:space="preserve">harmonic, receiver harmonic mixing and cross-band isolation </w:t>
      </w:r>
      <w:r>
        <w:rPr>
          <w:rFonts w:hint="eastAsia"/>
          <w:sz w:val="20"/>
          <w:szCs w:val="20"/>
          <w:lang w:val="en-US" w:eastAsia="zh-CN"/>
        </w:rPr>
        <w:t xml:space="preserve">MSD requirements, and not all of band combinations support 2Tx.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eastAsia="等线" w:cs="Times New Roman"/>
          <w:kern w:val="0"/>
          <w:sz w:val="20"/>
          <w:szCs w:val="24"/>
          <w:lang w:val="en-US" w:eastAsia="zh-CN"/>
        </w:rPr>
        <w:t>Moreover, th</w:t>
      </w:r>
      <w:r>
        <w:rPr>
          <w:rFonts w:hint="eastAsia"/>
          <w:sz w:val="20"/>
          <w:szCs w:val="20"/>
          <w:lang w:val="en-US" w:eastAsia="zh-CN"/>
        </w:rPr>
        <w:t>e MSD rule should be applied to all 2Tx/3Tx HPUE band combinations.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3Tx HPUE band combination, PC3 3Tx band combinations were supported by default. But there were no discussions how to derive PC3 3Tx MSD, instead the MSD requirements for HPUE 3Tx band combination were reused from the corresponding HPUE 2Tx band combination, we think this rule shall also be applied for all the applicable 3Tx HPUE band combination in R19.</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We have the following proposals: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i w:val="0"/>
          <w:iCs w:val="0"/>
          <w:sz w:val="20"/>
          <w:szCs w:val="20"/>
          <w:lang w:val="en-US" w:eastAsia="zh-CN"/>
        </w:rPr>
      </w:pPr>
      <w:bookmarkStart w:id="20" w:name="OLE_LINK20"/>
      <w:r>
        <w:rPr>
          <w:rFonts w:hint="eastAsia" w:cs="Times New Roman"/>
          <w:b/>
          <w:bCs/>
          <w:i w:val="0"/>
          <w:iCs w:val="0"/>
          <w:sz w:val="20"/>
          <w:szCs w:val="20"/>
          <w:lang w:val="en-US" w:eastAsia="zh-CN"/>
        </w:rPr>
        <w:t>Proposal 4: For 3Tx PC2/PC1.5 inter-band UL CA, t</w:t>
      </w:r>
      <w:r>
        <w:rPr>
          <w:rFonts w:hint="eastAsia"/>
          <w:b/>
          <w:bCs/>
          <w:i w:val="0"/>
          <w:iCs w:val="0"/>
          <w:sz w:val="20"/>
          <w:szCs w:val="20"/>
          <w:lang w:val="en-US" w:eastAsia="zh-CN"/>
        </w:rPr>
        <w:t>he MSD requirements are reused from the corresponding HPUE 2Tx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i/>
          <w:iCs/>
          <w:sz w:val="20"/>
          <w:szCs w:val="20"/>
          <w:lang w:val="en-US" w:eastAsia="zh-CN"/>
        </w:rPr>
      </w:pPr>
      <w:r>
        <w:rPr>
          <w:rFonts w:hint="eastAsia" w:cs="Times New Roman"/>
          <w:b/>
          <w:bCs/>
          <w:i w:val="0"/>
          <w:iCs w:val="0"/>
          <w:sz w:val="20"/>
          <w:szCs w:val="20"/>
          <w:lang w:val="en-US" w:eastAsia="zh-CN"/>
        </w:rPr>
        <w:t xml:space="preserve">Proposal 5: </w:t>
      </w:r>
      <w:r>
        <w:rPr>
          <w:rFonts w:ascii="Times New Roman" w:hAnsi="Times New Roman" w:eastAsia="宋体" w:cs="Times New Roman"/>
          <w:b/>
          <w:bCs/>
          <w:i w:val="0"/>
          <w:iCs w:val="0"/>
          <w:szCs w:val="24"/>
          <w:lang w:val="en-US" w:eastAsia="zh-CN" w:bidi="ar-SA"/>
        </w:rPr>
        <w:t>RAN4 keeps on specifying two sets PC2 requirements</w:t>
      </w:r>
      <w:r>
        <w:rPr>
          <w:rFonts w:hint="eastAsia" w:cs="Times New Roman"/>
          <w:b/>
          <w:bCs/>
          <w:i w:val="0"/>
          <w:iCs w:val="0"/>
          <w:szCs w:val="24"/>
          <w:lang w:val="en-US" w:eastAsia="zh-CN" w:bidi="ar-SA"/>
        </w:rPr>
        <w:t xml:space="preserve"> for 1Tx and 2Tx, respectively.</w:t>
      </w:r>
    </w:p>
    <w:bookmarkEnd w:id="12"/>
    <w:bookmarkEnd w:id="13"/>
    <w:bookmarkEnd w:id="14"/>
    <w:bookmarkEnd w:id="15"/>
    <w:bookmarkEnd w:id="20"/>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宋体" w:cs="Times New Roman"/>
          <w:b w:val="0"/>
          <w:bCs w:val="0"/>
          <w:i w:val="0"/>
          <w:iCs w:val="0"/>
          <w:kern w:val="0"/>
          <w:sz w:val="20"/>
          <w:szCs w:val="20"/>
          <w:highlight w:val="none"/>
          <w:u w:val="single"/>
          <w:lang w:val="en-US" w:eastAsia="zh-CN" w:bidi="ar-SA"/>
        </w:rPr>
      </w:pPr>
      <w:r>
        <w:rPr>
          <w:rFonts w:hint="eastAsia"/>
          <w:b/>
          <w:bCs w:val="0"/>
          <w:i w:val="0"/>
          <w:iCs w:val="0"/>
          <w:sz w:val="20"/>
          <w:szCs w:val="20"/>
          <w:u w:val="single"/>
          <w:lang w:val="en-US" w:eastAsia="zh-CN"/>
        </w:rPr>
        <w:t>duty cycle: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lang w:val="en-US" w:eastAsia="zh-CN"/>
        </w:rPr>
      </w:pPr>
      <w:r>
        <w:rPr>
          <w:rFonts w:hint="eastAsia" w:cs="Times New Roman"/>
          <w:b/>
          <w:bCs/>
          <w:sz w:val="20"/>
          <w:szCs w:val="20"/>
          <w:lang w:val="en-US" w:eastAsia="zh-CN"/>
        </w:rPr>
        <w:t xml:space="preserve">Observation 1: For PC1.5 TDD UL intra-band contiguous and non-contiguous CA, </w:t>
      </w:r>
      <w:r>
        <w:rPr>
          <w:rFonts w:hint="default" w:cs="Times New Roman"/>
          <w:b/>
          <w:bCs/>
          <w:sz w:val="20"/>
          <w:szCs w:val="20"/>
          <w:lang w:val="en-US" w:eastAsia="zh-CN"/>
        </w:rPr>
        <w:t xml:space="preserve">the </w:t>
      </w:r>
      <w:r>
        <w:rPr>
          <w:rFonts w:hint="eastAsia" w:cs="Times New Roman"/>
          <w:b/>
          <w:bCs/>
          <w:sz w:val="20"/>
          <w:szCs w:val="20"/>
          <w:lang w:val="en-US" w:eastAsia="zh-CN"/>
        </w:rPr>
        <w:t xml:space="preserve">PC1.5 </w:t>
      </w:r>
      <w:r>
        <w:rPr>
          <w:rFonts w:hint="default" w:cs="Times New Roman"/>
          <w:b/>
          <w:bCs/>
          <w:sz w:val="20"/>
          <w:szCs w:val="20"/>
          <w:lang w:val="en-US" w:eastAsia="zh-CN"/>
        </w:rPr>
        <w:t xml:space="preserve">single CC </w:t>
      </w:r>
      <w:r>
        <w:rPr>
          <w:rFonts w:hint="eastAsia" w:cs="Times New Roman"/>
          <w:b/>
          <w:bCs/>
          <w:sz w:val="20"/>
          <w:szCs w:val="20"/>
          <w:lang w:val="en-US" w:eastAsia="zh-CN"/>
        </w:rPr>
        <w:t>capabilities/approach (i.e. maxUplinkDutyCycle-PC2-FR1, maxUplinkDutyCycle-PC1dot5-MPE-FR1) are reused.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lang w:val="en-US" w:eastAsia="zh-CN"/>
        </w:rPr>
      </w:pPr>
      <w:r>
        <w:rPr>
          <w:rFonts w:hint="eastAsia" w:cs="Times New Roman"/>
          <w:b/>
          <w:bCs/>
          <w:sz w:val="20"/>
          <w:szCs w:val="20"/>
          <w:lang w:val="en-US" w:eastAsia="zh-CN"/>
        </w:rPr>
        <w:t xml:space="preserve">Proposal 1: </w:t>
      </w:r>
      <w:r>
        <w:rPr>
          <w:rFonts w:hint="eastAsia" w:cs="Times New Roman"/>
          <w:b/>
          <w:bCs/>
          <w:sz w:val="20"/>
          <w:szCs w:val="20"/>
          <w:lang w:val="en-GB" w:eastAsia="zh-CN"/>
        </w:rPr>
        <w:t xml:space="preserve">For </w:t>
      </w:r>
      <w:r>
        <w:rPr>
          <w:rFonts w:hint="eastAsia" w:cs="Times New Roman"/>
          <w:b/>
          <w:bCs/>
          <w:sz w:val="20"/>
          <w:szCs w:val="20"/>
          <w:lang w:val="en-US" w:eastAsia="zh-CN"/>
        </w:rPr>
        <w:t>inter-band UL CA</w:t>
      </w:r>
      <w:r>
        <w:rPr>
          <w:rFonts w:hint="eastAsia" w:cs="Times New Roman"/>
          <w:b/>
          <w:bCs/>
          <w:sz w:val="20"/>
          <w:szCs w:val="20"/>
          <w:lang w:val="en-GB" w:eastAsia="zh-CN"/>
        </w:rPr>
        <w:t xml:space="preserve"> (FDD+FDD), only reply on P-MPR</w:t>
      </w:r>
      <w:r>
        <w:rPr>
          <w:rFonts w:hint="eastAsia" w:cs="Times New Roman"/>
          <w:b/>
          <w:bCs/>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sz w:val="20"/>
          <w:szCs w:val="20"/>
          <w:lang w:val="en-US" w:eastAsia="zh-CN"/>
        </w:rPr>
      </w:pPr>
      <w:r>
        <w:rPr>
          <w:rFonts w:hint="eastAsia" w:cs="Times New Roman"/>
          <w:b/>
          <w:bCs/>
          <w:sz w:val="20"/>
          <w:szCs w:val="20"/>
          <w:lang w:val="en-US" w:eastAsia="zh-CN"/>
        </w:rPr>
        <w:t>Proposal 2: To consider the modifications for PC1.5 2Tx inter-band UL CA duty cycle solution.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u w:val="single"/>
          <w:lang w:val="en-US" w:eastAsia="zh-CN"/>
        </w:rPr>
      </w:pPr>
      <w:r>
        <w:rPr>
          <w:rFonts w:hint="eastAsia"/>
          <w:b/>
          <w:bCs/>
          <w:sz w:val="20"/>
          <w:szCs w:val="20"/>
          <w:u w:val="single"/>
          <w:lang w:val="en-US" w:eastAsia="zh-CN"/>
        </w:rPr>
        <w:t>Pcmax tolerance: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sz w:val="20"/>
          <w:szCs w:val="20"/>
          <w:lang w:val="en-US" w:eastAsia="zh-CN"/>
        </w:rPr>
      </w:pPr>
      <w:r>
        <w:rPr>
          <w:rFonts w:hint="eastAsia" w:cs="Times New Roman"/>
          <w:b/>
          <w:bCs/>
          <w:sz w:val="20"/>
          <w:szCs w:val="20"/>
          <w:lang w:val="en-US" w:eastAsia="zh-CN"/>
        </w:rPr>
        <w:t>Proposal 3: From specifications perspective, it should keep consistency for Pcmax tolerance between HPUE inter-band ULCA and HPUE ENDC.</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sz w:val="20"/>
          <w:szCs w:val="20"/>
          <w:u w:val="single"/>
          <w:lang w:val="en-US" w:eastAsia="zh-CN"/>
        </w:rPr>
      </w:pPr>
      <w:r>
        <w:rPr>
          <w:rFonts w:hint="eastAsia" w:cs="Times New Roman"/>
          <w:b/>
          <w:bCs/>
          <w:sz w:val="20"/>
          <w:szCs w:val="20"/>
          <w:u w:val="single"/>
          <w:lang w:val="en-US" w:eastAsia="zh-CN"/>
        </w:rPr>
        <w:t>MSD rule: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kern w:val="2"/>
          <w:sz w:val="20"/>
          <w:szCs w:val="20"/>
          <w:highlight w:val="none"/>
          <w:lang w:val="en-US" w:eastAsia="zh-CN"/>
        </w:rPr>
      </w:pPr>
      <w:r>
        <w:rPr>
          <w:rFonts w:hint="eastAsia"/>
          <w:b/>
          <w:bCs/>
          <w:kern w:val="2"/>
          <w:sz w:val="20"/>
          <w:szCs w:val="20"/>
          <w:highlight w:val="none"/>
          <w:lang w:val="en-US" w:eastAsia="zh-CN"/>
        </w:rPr>
        <w:t>Observation 2: With MSD rule, there are no technical issue for the HPUE band combination which makes it feasible to introduce the newly HPUE band combination via draft CR.</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kern w:val="2"/>
          <w:sz w:val="20"/>
          <w:szCs w:val="20"/>
          <w:highlight w:val="none"/>
          <w:lang w:val="en-US" w:eastAsia="zh-CN"/>
        </w:rPr>
      </w:pPr>
      <w:r>
        <w:rPr>
          <w:rFonts w:hint="eastAsia"/>
          <w:b/>
          <w:bCs/>
          <w:kern w:val="2"/>
          <w:sz w:val="20"/>
          <w:szCs w:val="20"/>
          <w:highlight w:val="none"/>
          <w:lang w:val="en-US" w:eastAsia="zh-CN"/>
        </w:rPr>
        <w:t xml:space="preserve">Observation 3: Without </w:t>
      </w:r>
      <w:r>
        <w:rPr>
          <w:b/>
          <w:bCs/>
          <w:kern w:val="2"/>
          <w:sz w:val="20"/>
          <w:szCs w:val="20"/>
          <w:highlight w:val="none"/>
        </w:rPr>
        <w:t>request procedure for HPUE band combinations</w:t>
      </w:r>
      <w:r>
        <w:rPr>
          <w:rFonts w:hint="eastAsia"/>
          <w:b/>
          <w:bCs/>
          <w:kern w:val="2"/>
          <w:sz w:val="20"/>
          <w:szCs w:val="20"/>
          <w:highlight w:val="none"/>
          <w:lang w:val="en-US" w:eastAsia="zh-CN"/>
        </w:rPr>
        <w:t>, there is no need to generate the HPUE band combination basket WID in later release (i.e. Rel-20 and onward).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i w:val="0"/>
          <w:iCs w:val="0"/>
          <w:sz w:val="20"/>
          <w:szCs w:val="20"/>
          <w:lang w:val="en-US" w:eastAsia="zh-CN"/>
        </w:rPr>
      </w:pPr>
      <w:r>
        <w:rPr>
          <w:rFonts w:hint="eastAsia" w:cs="Times New Roman"/>
          <w:b/>
          <w:bCs/>
          <w:i w:val="0"/>
          <w:iCs w:val="0"/>
          <w:sz w:val="20"/>
          <w:szCs w:val="20"/>
          <w:lang w:val="en-US" w:eastAsia="zh-CN"/>
        </w:rPr>
        <w:t>Proposal 4: For 3Tx PC2/PC1.5 inter-band UL CA, t</w:t>
      </w:r>
      <w:r>
        <w:rPr>
          <w:rFonts w:hint="eastAsia"/>
          <w:b/>
          <w:bCs/>
          <w:i w:val="0"/>
          <w:iCs w:val="0"/>
          <w:sz w:val="20"/>
          <w:szCs w:val="20"/>
          <w:lang w:val="en-US" w:eastAsia="zh-CN"/>
        </w:rPr>
        <w:t>he MSD requirements are reused from the corresponding HPUE 2Tx band combination.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val="0"/>
          <w:iCs w:val="0"/>
          <w:sz w:val="20"/>
          <w:szCs w:val="20"/>
          <w:lang w:val="en-US" w:eastAsia="zh-CN"/>
        </w:rPr>
        <w:t xml:space="preserve">Proposal 5: </w:t>
      </w:r>
      <w:r>
        <w:rPr>
          <w:rFonts w:ascii="Times New Roman" w:hAnsi="Times New Roman" w:eastAsia="宋体" w:cs="Times New Roman"/>
          <w:b/>
          <w:bCs/>
          <w:i w:val="0"/>
          <w:iCs w:val="0"/>
          <w:szCs w:val="24"/>
          <w:lang w:val="en-US" w:eastAsia="zh-CN" w:bidi="ar-SA"/>
        </w:rPr>
        <w:t>RAN4 keeps on specifying two sets PC2 requirements</w:t>
      </w:r>
      <w:r>
        <w:rPr>
          <w:rFonts w:hint="eastAsia" w:cs="Times New Roman"/>
          <w:b/>
          <w:bCs/>
          <w:i w:val="0"/>
          <w:iCs w:val="0"/>
          <w:szCs w:val="24"/>
          <w:lang w:val="en-US" w:eastAsia="zh-CN" w:bidi="ar-SA"/>
        </w:rPr>
        <w:t xml:space="preserve"> for 1Tx and 2Tx, respectively.</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en-GB"/>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"http://10.10.10.10/ftp/RAN/RAN4/Inbox/R4-2414277.zip" </w:instrText>
      </w:r>
      <w:r>
        <w:rPr>
          <w:rFonts w:hint="eastAsia"/>
          <w:sz w:val="20"/>
          <w:szCs w:val="20"/>
          <w:lang w:val="en-US" w:eastAsia="en-GB"/>
        </w:rPr>
        <w:fldChar w:fldCharType="separate"/>
      </w:r>
      <w:r>
        <w:rPr>
          <w:rFonts w:hint="eastAsia"/>
          <w:sz w:val="20"/>
          <w:szCs w:val="20"/>
          <w:lang w:val="en-US" w:eastAsia="en-GB"/>
        </w:rPr>
        <w:t>R4-2414277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en-GB"/>
        </w:rPr>
      </w:pPr>
      <w:r>
        <w:rPr>
          <w:rFonts w:hint="eastAsia"/>
          <w:sz w:val="20"/>
          <w:szCs w:val="20"/>
          <w:lang w:val="en-US" w:eastAsia="zh-CN"/>
        </w:rPr>
        <w:t>[3]</w:t>
      </w:r>
      <w:r>
        <w:rPr>
          <w:rFonts w:hint="eastAsia"/>
          <w:sz w:val="20"/>
          <w:szCs w:val="20"/>
          <w:lang w:val="en-US" w:eastAsia="en-GB"/>
        </w:rPr>
        <w:t>R4-2417098</w:t>
      </w:r>
      <w:r>
        <w:rPr>
          <w:rFonts w:hint="eastAsia"/>
          <w:sz w:val="20"/>
          <w:szCs w:val="20"/>
          <w:lang w:val="en-US" w:eastAsia="zh-CN"/>
        </w:rPr>
        <w:t xml:space="preserve">, </w:t>
      </w:r>
      <w:r>
        <w:rPr>
          <w:rFonts w:hint="eastAsia"/>
          <w:sz w:val="20"/>
          <w:szCs w:val="20"/>
          <w:lang w:val="en-US" w:eastAsia="en-GB"/>
        </w:rPr>
        <w:t>WF on HPUE RF requirements</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en-GB"/>
        </w:rPr>
      </w:pPr>
      <w:r>
        <w:rPr>
          <w:rFonts w:hint="eastAsia"/>
          <w:sz w:val="20"/>
          <w:szCs w:val="20"/>
          <w:lang w:val="en-US" w:eastAsia="zh-CN"/>
        </w:rPr>
        <w:t>[4]</w:t>
      </w:r>
      <w:r>
        <w:rPr>
          <w:rFonts w:hint="eastAsia"/>
          <w:sz w:val="20"/>
          <w:szCs w:val="20"/>
          <w:lang w:val="en-US" w:eastAsia="en-GB"/>
        </w:rPr>
        <w:t>R4-2420329</w:t>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[5] R4-2415904 Discussion on R19 HPUE duty cycle and MSD rule, ZTE Corporation, Sanechips</w:t>
      </w:r>
    </w:p>
    <w:p>
      <w:pPr>
        <w:keepNext/>
        <w:keepLines/>
        <w:pageBreakBefore w:val="0"/>
        <w:widowControl/>
        <w:tabs>
          <w:tab w:val="left" w:pos="1985"/>
        </w:tabs>
        <w:kinsoku/>
        <w:wordWrap/>
        <w:topLinePunct w:val="0"/>
        <w:bidi w:val="0"/>
        <w:jc w:val="both"/>
        <w:rPr>
          <w:rFonts w:ascii="Arial" w:hAnsi="Arial" w:cs="Arial"/>
          <w:sz w:val="22"/>
        </w:rPr>
      </w:pPr>
      <w:r>
        <w:rPr>
          <w:rFonts w:hint="eastAsia"/>
          <w:sz w:val="20"/>
          <w:szCs w:val="20"/>
          <w:lang w:val="en-US" w:eastAsia="zh-CN"/>
        </w:rPr>
        <w:t xml:space="preserve">[6] </w:t>
      </w:r>
      <w:r>
        <w:rPr>
          <w:rFonts w:hint="eastAsia"/>
          <w:sz w:val="20"/>
          <w:szCs w:val="20"/>
          <w:lang w:val="en-US" w:eastAsia="en-GB"/>
        </w:rPr>
        <w:t>R4-2420380</w:t>
      </w:r>
      <w:r>
        <w:rPr>
          <w:rFonts w:hint="eastAsia"/>
          <w:sz w:val="20"/>
          <w:szCs w:val="20"/>
          <w:lang w:val="en-US" w:eastAsia="zh-CN"/>
        </w:rPr>
        <w:t xml:space="preserve">, </w:t>
      </w:r>
      <w:r>
        <w:rPr>
          <w:rFonts w:hint="eastAsia"/>
          <w:sz w:val="20"/>
          <w:szCs w:val="20"/>
          <w:lang w:val="en-US" w:eastAsia="en-GB"/>
        </w:rPr>
        <w:t>WF on MSD rule</w:t>
      </w:r>
      <w:r>
        <w:rPr>
          <w:rFonts w:hint="eastAsia"/>
          <w:sz w:val="20"/>
          <w:szCs w:val="20"/>
          <w:lang w:val="en-US" w:eastAsia="zh-CN"/>
        </w:rPr>
        <w:t xml:space="preserve">, </w:t>
      </w:r>
      <w:r>
        <w:rPr>
          <w:rFonts w:hint="eastAsia"/>
          <w:sz w:val="20"/>
          <w:szCs w:val="20"/>
          <w:lang w:val="en-US" w:eastAsia="en-GB"/>
        </w:rPr>
        <w:t>Skyworks, Murata, Nokia, Qualcomm</w:t>
      </w:r>
    </w:p>
    <w:p>
      <w:pPr>
        <w:keepNext/>
        <w:keepLines/>
        <w:pageBreakBefore w:val="0"/>
        <w:widowControl/>
        <w:kinsoku/>
        <w:wordWrap/>
        <w:topLinePunct w:val="0"/>
        <w:bidi w:val="0"/>
        <w:rPr>
          <w:rFonts w:hint="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rinda">
    <w:altName w:val="Segoe Print"/>
    <w:panose1 w:val="00000400000000000000"/>
    <w:charset w:val="00"/>
    <w:family w:val="swiss"/>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4E02AA7"/>
    <w:multiLevelType w:val="multilevel"/>
    <w:tmpl w:val="04E02AA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D822F92"/>
    <w:multiLevelType w:val="multilevel"/>
    <w:tmpl w:val="1D822F92"/>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5">
    <w:nsid w:val="2F1E4DA6"/>
    <w:multiLevelType w:val="multilevel"/>
    <w:tmpl w:val="2F1E4D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92E258E"/>
    <w:multiLevelType w:val="multilevel"/>
    <w:tmpl w:val="792E258E"/>
    <w:lvl w:ilvl="0" w:tentative="0">
      <w:start w:val="2"/>
      <w:numFmt w:val="bullet"/>
      <w:lvlText w:val="-"/>
      <w:lvlJc w:val="left"/>
      <w:pPr>
        <w:ind w:left="360" w:hanging="360"/>
      </w:pPr>
      <w:rPr>
        <w:rFonts w:hint="default" w:ascii="Times New Roman" w:hAnsi="Times New Roman" w:eastAsia="宋体" w:cs="Times New Roman"/>
        <w:sz w:val="20"/>
      </w:rPr>
    </w:lvl>
    <w:lvl w:ilvl="1" w:tentative="0">
      <w:start w:val="1"/>
      <w:numFmt w:val="bullet"/>
      <w:lvlText w:val="-"/>
      <w:lvlJc w:val="left"/>
      <w:pPr>
        <w:ind w:left="1080" w:hanging="360"/>
      </w:pPr>
      <w:rPr>
        <w:rFonts w:hint="default" w:ascii="Times New Roman" w:hAnsi="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8"/>
  </w:num>
  <w:num w:numId="3">
    <w:abstractNumId w:val="6"/>
  </w:num>
  <w:num w:numId="4">
    <w:abstractNumId w:val="7"/>
  </w:num>
  <w:num w:numId="5">
    <w:abstractNumId w:val="1"/>
  </w:num>
  <w:num w:numId="6">
    <w:abstractNumId w:val="0"/>
  </w:num>
  <w:num w:numId="7">
    <w:abstractNumId w:val="5"/>
  </w:num>
  <w:num w:numId="8">
    <w:abstractNumId w:val="9"/>
  </w:num>
  <w:num w:numId="9">
    <w:abstractNumId w:val="2"/>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1BDF"/>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A0623"/>
    <w:rsid w:val="014C6B63"/>
    <w:rsid w:val="01536583"/>
    <w:rsid w:val="0170606B"/>
    <w:rsid w:val="017131DC"/>
    <w:rsid w:val="01764F01"/>
    <w:rsid w:val="01795BD9"/>
    <w:rsid w:val="018107C9"/>
    <w:rsid w:val="01815F85"/>
    <w:rsid w:val="01837FEF"/>
    <w:rsid w:val="01854FE9"/>
    <w:rsid w:val="018E207B"/>
    <w:rsid w:val="0190283E"/>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363BF"/>
    <w:rsid w:val="01F90434"/>
    <w:rsid w:val="01FB366B"/>
    <w:rsid w:val="01FC5FCC"/>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F900F0"/>
    <w:rsid w:val="02FA22E2"/>
    <w:rsid w:val="03032BFE"/>
    <w:rsid w:val="03047DDD"/>
    <w:rsid w:val="03073BDC"/>
    <w:rsid w:val="03086405"/>
    <w:rsid w:val="030B0647"/>
    <w:rsid w:val="030B2860"/>
    <w:rsid w:val="030C40C1"/>
    <w:rsid w:val="030D2F0B"/>
    <w:rsid w:val="030F3B4D"/>
    <w:rsid w:val="03350E4E"/>
    <w:rsid w:val="033C68CE"/>
    <w:rsid w:val="03445E8F"/>
    <w:rsid w:val="03496C64"/>
    <w:rsid w:val="03514002"/>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41F0E"/>
    <w:rsid w:val="057D1D66"/>
    <w:rsid w:val="0584418A"/>
    <w:rsid w:val="058E7B70"/>
    <w:rsid w:val="059D265F"/>
    <w:rsid w:val="05B74214"/>
    <w:rsid w:val="05B92EC1"/>
    <w:rsid w:val="05C251E4"/>
    <w:rsid w:val="05C26893"/>
    <w:rsid w:val="05C868B7"/>
    <w:rsid w:val="05CB5B76"/>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1C6C"/>
    <w:rsid w:val="06575D97"/>
    <w:rsid w:val="065D2980"/>
    <w:rsid w:val="06637BD9"/>
    <w:rsid w:val="06674CE7"/>
    <w:rsid w:val="066935ED"/>
    <w:rsid w:val="066F06B5"/>
    <w:rsid w:val="06782F84"/>
    <w:rsid w:val="067C28D6"/>
    <w:rsid w:val="067E40B7"/>
    <w:rsid w:val="0681696E"/>
    <w:rsid w:val="06851866"/>
    <w:rsid w:val="06863B44"/>
    <w:rsid w:val="068E06BC"/>
    <w:rsid w:val="06907E56"/>
    <w:rsid w:val="069201CB"/>
    <w:rsid w:val="06956E2E"/>
    <w:rsid w:val="06971860"/>
    <w:rsid w:val="069F445A"/>
    <w:rsid w:val="06B741D9"/>
    <w:rsid w:val="06C457B6"/>
    <w:rsid w:val="06CD4A70"/>
    <w:rsid w:val="06DF4C13"/>
    <w:rsid w:val="06E34232"/>
    <w:rsid w:val="06E7678C"/>
    <w:rsid w:val="06E80366"/>
    <w:rsid w:val="06ED5C56"/>
    <w:rsid w:val="06F13CA3"/>
    <w:rsid w:val="06F14C51"/>
    <w:rsid w:val="06F42A88"/>
    <w:rsid w:val="06F801C0"/>
    <w:rsid w:val="070E5EE2"/>
    <w:rsid w:val="07105178"/>
    <w:rsid w:val="0712124C"/>
    <w:rsid w:val="071426A5"/>
    <w:rsid w:val="071614A3"/>
    <w:rsid w:val="071A1AB9"/>
    <w:rsid w:val="071C13A8"/>
    <w:rsid w:val="07330445"/>
    <w:rsid w:val="073841C1"/>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41060"/>
    <w:rsid w:val="083D71D5"/>
    <w:rsid w:val="085514F1"/>
    <w:rsid w:val="085A292F"/>
    <w:rsid w:val="085A5F4A"/>
    <w:rsid w:val="08675174"/>
    <w:rsid w:val="08732D34"/>
    <w:rsid w:val="0875131E"/>
    <w:rsid w:val="08787FF0"/>
    <w:rsid w:val="08824DF0"/>
    <w:rsid w:val="0889002B"/>
    <w:rsid w:val="089B79D9"/>
    <w:rsid w:val="089C7469"/>
    <w:rsid w:val="08A44DA6"/>
    <w:rsid w:val="08AA245A"/>
    <w:rsid w:val="08BA6E24"/>
    <w:rsid w:val="08C024D5"/>
    <w:rsid w:val="08C562FD"/>
    <w:rsid w:val="08CA27B1"/>
    <w:rsid w:val="08D25907"/>
    <w:rsid w:val="08DB4458"/>
    <w:rsid w:val="08E916DF"/>
    <w:rsid w:val="08F3022B"/>
    <w:rsid w:val="08F473EA"/>
    <w:rsid w:val="08F815F3"/>
    <w:rsid w:val="08F96E54"/>
    <w:rsid w:val="08FC0AA5"/>
    <w:rsid w:val="09064A54"/>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45A78"/>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50AFA"/>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BE512C4"/>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4475F"/>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8B3B86"/>
    <w:rsid w:val="0F957B47"/>
    <w:rsid w:val="0F98796C"/>
    <w:rsid w:val="0F9F6FA4"/>
    <w:rsid w:val="0FA65D5C"/>
    <w:rsid w:val="0FA83295"/>
    <w:rsid w:val="0FAD33DA"/>
    <w:rsid w:val="0FBE2A42"/>
    <w:rsid w:val="0FBF1587"/>
    <w:rsid w:val="0FBF686B"/>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C730A"/>
    <w:rsid w:val="13CE7C74"/>
    <w:rsid w:val="13CE7FED"/>
    <w:rsid w:val="13D024B3"/>
    <w:rsid w:val="13D115EF"/>
    <w:rsid w:val="13D34D49"/>
    <w:rsid w:val="13D40AF3"/>
    <w:rsid w:val="13D86A45"/>
    <w:rsid w:val="13D92D9C"/>
    <w:rsid w:val="13DD445E"/>
    <w:rsid w:val="13DE7C83"/>
    <w:rsid w:val="13E513FB"/>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C45576"/>
    <w:rsid w:val="14C76D6C"/>
    <w:rsid w:val="14CB0971"/>
    <w:rsid w:val="14CB7E6E"/>
    <w:rsid w:val="14CE33C4"/>
    <w:rsid w:val="14DA3DA1"/>
    <w:rsid w:val="14E31554"/>
    <w:rsid w:val="14E60B42"/>
    <w:rsid w:val="14EA1C4D"/>
    <w:rsid w:val="15006FD3"/>
    <w:rsid w:val="15012AC6"/>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E87E4F"/>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C375F"/>
    <w:rsid w:val="16FD2447"/>
    <w:rsid w:val="17081A43"/>
    <w:rsid w:val="170B631B"/>
    <w:rsid w:val="1712339A"/>
    <w:rsid w:val="171B1C8E"/>
    <w:rsid w:val="171E63FC"/>
    <w:rsid w:val="172244D9"/>
    <w:rsid w:val="1722504D"/>
    <w:rsid w:val="17240A09"/>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8B09EF"/>
    <w:rsid w:val="1793626E"/>
    <w:rsid w:val="17991452"/>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0F4DB8"/>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07470"/>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9A2059"/>
    <w:rsid w:val="199B4699"/>
    <w:rsid w:val="19A40543"/>
    <w:rsid w:val="19A91329"/>
    <w:rsid w:val="19B250D3"/>
    <w:rsid w:val="19B46E10"/>
    <w:rsid w:val="19C456C1"/>
    <w:rsid w:val="19C47D20"/>
    <w:rsid w:val="19C7308A"/>
    <w:rsid w:val="19C96BAE"/>
    <w:rsid w:val="19DB6A7E"/>
    <w:rsid w:val="19DF018D"/>
    <w:rsid w:val="19E65498"/>
    <w:rsid w:val="19F061A1"/>
    <w:rsid w:val="19F3324D"/>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140826"/>
    <w:rsid w:val="1B2160BB"/>
    <w:rsid w:val="1B3137EE"/>
    <w:rsid w:val="1B3637AD"/>
    <w:rsid w:val="1B3E0DB5"/>
    <w:rsid w:val="1B435D31"/>
    <w:rsid w:val="1B454C94"/>
    <w:rsid w:val="1B496377"/>
    <w:rsid w:val="1B506283"/>
    <w:rsid w:val="1B6515DA"/>
    <w:rsid w:val="1B6C0DF0"/>
    <w:rsid w:val="1B7034E2"/>
    <w:rsid w:val="1B733E18"/>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5B60"/>
    <w:rsid w:val="1C207A38"/>
    <w:rsid w:val="1C273D33"/>
    <w:rsid w:val="1C274D98"/>
    <w:rsid w:val="1C2B678D"/>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BF11D3"/>
    <w:rsid w:val="1CC27801"/>
    <w:rsid w:val="1CC73770"/>
    <w:rsid w:val="1CC84A93"/>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DF51CE6"/>
    <w:rsid w:val="1DFB6F31"/>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E0821"/>
    <w:rsid w:val="1FAF2571"/>
    <w:rsid w:val="1FB7507F"/>
    <w:rsid w:val="1FC07E48"/>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C5493"/>
    <w:rsid w:val="203D340C"/>
    <w:rsid w:val="203D7ACF"/>
    <w:rsid w:val="203F0A07"/>
    <w:rsid w:val="20446081"/>
    <w:rsid w:val="204852AD"/>
    <w:rsid w:val="204E6676"/>
    <w:rsid w:val="205A5AA0"/>
    <w:rsid w:val="20677607"/>
    <w:rsid w:val="20685BC4"/>
    <w:rsid w:val="20773A28"/>
    <w:rsid w:val="20776154"/>
    <w:rsid w:val="208574F4"/>
    <w:rsid w:val="208C4449"/>
    <w:rsid w:val="208C7CC6"/>
    <w:rsid w:val="208F6BAF"/>
    <w:rsid w:val="20966D8D"/>
    <w:rsid w:val="20A462BA"/>
    <w:rsid w:val="20BB4EA4"/>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8615F"/>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A2C9C"/>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CF0647"/>
    <w:rsid w:val="22D9694E"/>
    <w:rsid w:val="22DD69A8"/>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10881"/>
    <w:rsid w:val="23C5553B"/>
    <w:rsid w:val="23D17D7B"/>
    <w:rsid w:val="23D36D91"/>
    <w:rsid w:val="23DD3EC1"/>
    <w:rsid w:val="23E344C7"/>
    <w:rsid w:val="23F70BA5"/>
    <w:rsid w:val="23F93D0D"/>
    <w:rsid w:val="23FD0F19"/>
    <w:rsid w:val="240366A5"/>
    <w:rsid w:val="2405417E"/>
    <w:rsid w:val="240F5116"/>
    <w:rsid w:val="241B5C62"/>
    <w:rsid w:val="241C5F7B"/>
    <w:rsid w:val="24280875"/>
    <w:rsid w:val="24363AB1"/>
    <w:rsid w:val="24377DB7"/>
    <w:rsid w:val="243B745E"/>
    <w:rsid w:val="24427A08"/>
    <w:rsid w:val="24454B90"/>
    <w:rsid w:val="24572B1C"/>
    <w:rsid w:val="2458381E"/>
    <w:rsid w:val="245872F9"/>
    <w:rsid w:val="245943D9"/>
    <w:rsid w:val="245E6B64"/>
    <w:rsid w:val="2463385E"/>
    <w:rsid w:val="24790BCB"/>
    <w:rsid w:val="247C27F7"/>
    <w:rsid w:val="248B0DC8"/>
    <w:rsid w:val="24967323"/>
    <w:rsid w:val="249817D6"/>
    <w:rsid w:val="249D5FC8"/>
    <w:rsid w:val="24A1538E"/>
    <w:rsid w:val="24A83667"/>
    <w:rsid w:val="24A97CCD"/>
    <w:rsid w:val="24AD67F4"/>
    <w:rsid w:val="24B9450F"/>
    <w:rsid w:val="24C83F94"/>
    <w:rsid w:val="24DE3A8A"/>
    <w:rsid w:val="24E7219B"/>
    <w:rsid w:val="24F60CDA"/>
    <w:rsid w:val="24FC5D1A"/>
    <w:rsid w:val="24FE42EB"/>
    <w:rsid w:val="24FE7E17"/>
    <w:rsid w:val="25040446"/>
    <w:rsid w:val="250D450C"/>
    <w:rsid w:val="25134332"/>
    <w:rsid w:val="25141A5B"/>
    <w:rsid w:val="251D6943"/>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058D"/>
    <w:rsid w:val="2628719C"/>
    <w:rsid w:val="26395C92"/>
    <w:rsid w:val="263F660E"/>
    <w:rsid w:val="26465DA0"/>
    <w:rsid w:val="26497858"/>
    <w:rsid w:val="264C485B"/>
    <w:rsid w:val="265A5249"/>
    <w:rsid w:val="266237C3"/>
    <w:rsid w:val="266749F2"/>
    <w:rsid w:val="266805A0"/>
    <w:rsid w:val="267550B9"/>
    <w:rsid w:val="268A7650"/>
    <w:rsid w:val="26985A9C"/>
    <w:rsid w:val="269C0A66"/>
    <w:rsid w:val="26A167B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15BDB"/>
    <w:rsid w:val="27C57B2B"/>
    <w:rsid w:val="27C8029E"/>
    <w:rsid w:val="27CC78AC"/>
    <w:rsid w:val="27D72FE7"/>
    <w:rsid w:val="27D86029"/>
    <w:rsid w:val="27DC10DD"/>
    <w:rsid w:val="27DD45ED"/>
    <w:rsid w:val="27E069FC"/>
    <w:rsid w:val="27E35AAE"/>
    <w:rsid w:val="27E3651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85DD1"/>
    <w:rsid w:val="28BE71CB"/>
    <w:rsid w:val="28C96C14"/>
    <w:rsid w:val="28CA7CD7"/>
    <w:rsid w:val="28CD627E"/>
    <w:rsid w:val="28CE0367"/>
    <w:rsid w:val="28D04F68"/>
    <w:rsid w:val="28E138E3"/>
    <w:rsid w:val="28E74216"/>
    <w:rsid w:val="28E87EE4"/>
    <w:rsid w:val="2903396A"/>
    <w:rsid w:val="29087976"/>
    <w:rsid w:val="290B654D"/>
    <w:rsid w:val="29124309"/>
    <w:rsid w:val="2921752E"/>
    <w:rsid w:val="293F40E3"/>
    <w:rsid w:val="294E766A"/>
    <w:rsid w:val="29513848"/>
    <w:rsid w:val="295B325B"/>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3A7BF6"/>
    <w:rsid w:val="2C3B545F"/>
    <w:rsid w:val="2C425BCE"/>
    <w:rsid w:val="2C426CF6"/>
    <w:rsid w:val="2C44676A"/>
    <w:rsid w:val="2C485295"/>
    <w:rsid w:val="2C495C38"/>
    <w:rsid w:val="2C4A080C"/>
    <w:rsid w:val="2C54533B"/>
    <w:rsid w:val="2C591378"/>
    <w:rsid w:val="2C5D6F47"/>
    <w:rsid w:val="2C64684A"/>
    <w:rsid w:val="2C677A31"/>
    <w:rsid w:val="2C7004FB"/>
    <w:rsid w:val="2C760745"/>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6D2DA6"/>
    <w:rsid w:val="2D707235"/>
    <w:rsid w:val="2D8A3FA2"/>
    <w:rsid w:val="2D921BED"/>
    <w:rsid w:val="2D94006F"/>
    <w:rsid w:val="2D9767DC"/>
    <w:rsid w:val="2D980DDC"/>
    <w:rsid w:val="2D983122"/>
    <w:rsid w:val="2D987372"/>
    <w:rsid w:val="2D9B18FB"/>
    <w:rsid w:val="2DA23D5C"/>
    <w:rsid w:val="2DA40523"/>
    <w:rsid w:val="2DB872E3"/>
    <w:rsid w:val="2DC66A91"/>
    <w:rsid w:val="2DC92AA1"/>
    <w:rsid w:val="2DCE5F69"/>
    <w:rsid w:val="2DDD4F0A"/>
    <w:rsid w:val="2DF829F8"/>
    <w:rsid w:val="2E063012"/>
    <w:rsid w:val="2E1F0CF7"/>
    <w:rsid w:val="2E202672"/>
    <w:rsid w:val="2E3118D8"/>
    <w:rsid w:val="2E34792A"/>
    <w:rsid w:val="2E437E73"/>
    <w:rsid w:val="2E484C58"/>
    <w:rsid w:val="2E5034DC"/>
    <w:rsid w:val="2E572AB9"/>
    <w:rsid w:val="2E5B65F8"/>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0E4A59"/>
    <w:rsid w:val="2F1251F2"/>
    <w:rsid w:val="2F1B08DB"/>
    <w:rsid w:val="2F2D445E"/>
    <w:rsid w:val="2F3F30B1"/>
    <w:rsid w:val="2F4F6FBB"/>
    <w:rsid w:val="2F664E2B"/>
    <w:rsid w:val="2F665FA7"/>
    <w:rsid w:val="2F6C7BE3"/>
    <w:rsid w:val="2F6E3A80"/>
    <w:rsid w:val="2F715580"/>
    <w:rsid w:val="2F7470F0"/>
    <w:rsid w:val="2F783485"/>
    <w:rsid w:val="2F7F5C0B"/>
    <w:rsid w:val="2FA6492D"/>
    <w:rsid w:val="2FC86676"/>
    <w:rsid w:val="2FCD209C"/>
    <w:rsid w:val="2FCE35FC"/>
    <w:rsid w:val="2FD150ED"/>
    <w:rsid w:val="2FD17A1B"/>
    <w:rsid w:val="2FD71CA4"/>
    <w:rsid w:val="2FDA1416"/>
    <w:rsid w:val="2FDC4A8D"/>
    <w:rsid w:val="2FDE43D5"/>
    <w:rsid w:val="2FE73901"/>
    <w:rsid w:val="2FEE50B1"/>
    <w:rsid w:val="2FF81447"/>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277E81"/>
    <w:rsid w:val="33304A5C"/>
    <w:rsid w:val="334037E5"/>
    <w:rsid w:val="33404DED"/>
    <w:rsid w:val="334B2535"/>
    <w:rsid w:val="33540E5D"/>
    <w:rsid w:val="33555C7A"/>
    <w:rsid w:val="33575633"/>
    <w:rsid w:val="33587D60"/>
    <w:rsid w:val="335A0521"/>
    <w:rsid w:val="335E7B11"/>
    <w:rsid w:val="336032E8"/>
    <w:rsid w:val="3364318B"/>
    <w:rsid w:val="336514A2"/>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17F75"/>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6F3FB3"/>
    <w:rsid w:val="34710119"/>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E4B0A"/>
    <w:rsid w:val="35807F17"/>
    <w:rsid w:val="35866D7F"/>
    <w:rsid w:val="35897ADA"/>
    <w:rsid w:val="358F6BDF"/>
    <w:rsid w:val="35A65234"/>
    <w:rsid w:val="35C06D50"/>
    <w:rsid w:val="35CA3D9E"/>
    <w:rsid w:val="35CD6F14"/>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816994"/>
    <w:rsid w:val="36820DFD"/>
    <w:rsid w:val="368230C6"/>
    <w:rsid w:val="36831B61"/>
    <w:rsid w:val="36843A03"/>
    <w:rsid w:val="368715BB"/>
    <w:rsid w:val="368E7248"/>
    <w:rsid w:val="368F7E4F"/>
    <w:rsid w:val="36985297"/>
    <w:rsid w:val="3699519F"/>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428EB"/>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146CB"/>
    <w:rsid w:val="37E76E34"/>
    <w:rsid w:val="37FE02EA"/>
    <w:rsid w:val="3802360F"/>
    <w:rsid w:val="38083B97"/>
    <w:rsid w:val="380D02B1"/>
    <w:rsid w:val="380F1889"/>
    <w:rsid w:val="38137C9C"/>
    <w:rsid w:val="38144AE5"/>
    <w:rsid w:val="381F4DE1"/>
    <w:rsid w:val="382B1BDF"/>
    <w:rsid w:val="382E392C"/>
    <w:rsid w:val="38342E90"/>
    <w:rsid w:val="384A3313"/>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A2E6E"/>
    <w:rsid w:val="390E7299"/>
    <w:rsid w:val="391A1130"/>
    <w:rsid w:val="391A3359"/>
    <w:rsid w:val="39243950"/>
    <w:rsid w:val="39285D57"/>
    <w:rsid w:val="39305263"/>
    <w:rsid w:val="394303B9"/>
    <w:rsid w:val="394915ED"/>
    <w:rsid w:val="394B6470"/>
    <w:rsid w:val="394C0039"/>
    <w:rsid w:val="395B1104"/>
    <w:rsid w:val="395C6EA8"/>
    <w:rsid w:val="39660A83"/>
    <w:rsid w:val="39747EC7"/>
    <w:rsid w:val="39752A0F"/>
    <w:rsid w:val="39872512"/>
    <w:rsid w:val="39A602F9"/>
    <w:rsid w:val="39BD45C8"/>
    <w:rsid w:val="39C1574C"/>
    <w:rsid w:val="39C2316A"/>
    <w:rsid w:val="39CE553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B00167"/>
    <w:rsid w:val="3AB40637"/>
    <w:rsid w:val="3ABC496A"/>
    <w:rsid w:val="3AC17E3A"/>
    <w:rsid w:val="3AC4083B"/>
    <w:rsid w:val="3AC72CF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E3AFC"/>
    <w:rsid w:val="3BD96AA6"/>
    <w:rsid w:val="3BDB182F"/>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1CB0"/>
    <w:rsid w:val="3CA734F8"/>
    <w:rsid w:val="3CA95F71"/>
    <w:rsid w:val="3CAD771B"/>
    <w:rsid w:val="3CC16893"/>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920B3"/>
    <w:rsid w:val="3D3D6BBD"/>
    <w:rsid w:val="3D3E2127"/>
    <w:rsid w:val="3D43773B"/>
    <w:rsid w:val="3D450F8C"/>
    <w:rsid w:val="3D477118"/>
    <w:rsid w:val="3D4D7FD5"/>
    <w:rsid w:val="3D570828"/>
    <w:rsid w:val="3D594E54"/>
    <w:rsid w:val="3D595C4A"/>
    <w:rsid w:val="3D62706F"/>
    <w:rsid w:val="3D6E2272"/>
    <w:rsid w:val="3D755D9D"/>
    <w:rsid w:val="3D7761CF"/>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2B1E9E"/>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13109"/>
    <w:rsid w:val="3E8227F0"/>
    <w:rsid w:val="3E8316FA"/>
    <w:rsid w:val="3E876237"/>
    <w:rsid w:val="3E900915"/>
    <w:rsid w:val="3E9055C8"/>
    <w:rsid w:val="3E937F82"/>
    <w:rsid w:val="3E9A1443"/>
    <w:rsid w:val="3E9B4B40"/>
    <w:rsid w:val="3EA53AF8"/>
    <w:rsid w:val="3EB0220E"/>
    <w:rsid w:val="3EB709F3"/>
    <w:rsid w:val="3EB71AC8"/>
    <w:rsid w:val="3EB93EF6"/>
    <w:rsid w:val="3EBB29A2"/>
    <w:rsid w:val="3EC71336"/>
    <w:rsid w:val="3EC85E34"/>
    <w:rsid w:val="3ECD2EE4"/>
    <w:rsid w:val="3ECF2AAC"/>
    <w:rsid w:val="3ED0424C"/>
    <w:rsid w:val="3ED07B7E"/>
    <w:rsid w:val="3ED16FB1"/>
    <w:rsid w:val="3ED425B7"/>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0F1410"/>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2DD0"/>
    <w:rsid w:val="411251DD"/>
    <w:rsid w:val="41146D26"/>
    <w:rsid w:val="411D1161"/>
    <w:rsid w:val="41334FB7"/>
    <w:rsid w:val="413353F1"/>
    <w:rsid w:val="413735AC"/>
    <w:rsid w:val="4137558E"/>
    <w:rsid w:val="4146047F"/>
    <w:rsid w:val="41513BC9"/>
    <w:rsid w:val="416B4DCF"/>
    <w:rsid w:val="416C40CA"/>
    <w:rsid w:val="41735B7F"/>
    <w:rsid w:val="417D6B05"/>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0634F"/>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8190D"/>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C46BA"/>
    <w:rsid w:val="44DC46EB"/>
    <w:rsid w:val="44DF1B8D"/>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86F8A"/>
    <w:rsid w:val="45CA082F"/>
    <w:rsid w:val="45CD2126"/>
    <w:rsid w:val="45CD75F1"/>
    <w:rsid w:val="45D2713B"/>
    <w:rsid w:val="45DD738A"/>
    <w:rsid w:val="45DF61DC"/>
    <w:rsid w:val="45E372CD"/>
    <w:rsid w:val="45ED64C7"/>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1795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317DF"/>
    <w:rsid w:val="46A95479"/>
    <w:rsid w:val="46AB0067"/>
    <w:rsid w:val="46AD4E32"/>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C84552"/>
    <w:rsid w:val="47D511BD"/>
    <w:rsid w:val="47DB65F6"/>
    <w:rsid w:val="47DD11F5"/>
    <w:rsid w:val="47DF7408"/>
    <w:rsid w:val="47ED307F"/>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12D3"/>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8FA39B0"/>
    <w:rsid w:val="4916605C"/>
    <w:rsid w:val="491B63DF"/>
    <w:rsid w:val="491D63E9"/>
    <w:rsid w:val="4920610E"/>
    <w:rsid w:val="492B6F05"/>
    <w:rsid w:val="4932285C"/>
    <w:rsid w:val="493617F0"/>
    <w:rsid w:val="4937272B"/>
    <w:rsid w:val="4937722C"/>
    <w:rsid w:val="49384E02"/>
    <w:rsid w:val="493E2F78"/>
    <w:rsid w:val="494049CC"/>
    <w:rsid w:val="49411EAF"/>
    <w:rsid w:val="495217DF"/>
    <w:rsid w:val="49572F75"/>
    <w:rsid w:val="4958367A"/>
    <w:rsid w:val="495A044A"/>
    <w:rsid w:val="497110D5"/>
    <w:rsid w:val="497206BF"/>
    <w:rsid w:val="497C7C92"/>
    <w:rsid w:val="498817B3"/>
    <w:rsid w:val="498A16CD"/>
    <w:rsid w:val="49997D51"/>
    <w:rsid w:val="499C7517"/>
    <w:rsid w:val="499E07E8"/>
    <w:rsid w:val="49A14359"/>
    <w:rsid w:val="49A33C27"/>
    <w:rsid w:val="49A750B5"/>
    <w:rsid w:val="49AB1A6B"/>
    <w:rsid w:val="49AD6B0D"/>
    <w:rsid w:val="49BE07DA"/>
    <w:rsid w:val="49C62636"/>
    <w:rsid w:val="49C84AA0"/>
    <w:rsid w:val="49CE3923"/>
    <w:rsid w:val="49CF11BE"/>
    <w:rsid w:val="49D7694D"/>
    <w:rsid w:val="49E234CC"/>
    <w:rsid w:val="49EC3531"/>
    <w:rsid w:val="49F152D3"/>
    <w:rsid w:val="49F8312B"/>
    <w:rsid w:val="49FE46F2"/>
    <w:rsid w:val="4A0244D3"/>
    <w:rsid w:val="4A0B3920"/>
    <w:rsid w:val="4A121195"/>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5DE1"/>
    <w:rsid w:val="4CB96B0F"/>
    <w:rsid w:val="4CBD582C"/>
    <w:rsid w:val="4CC82D24"/>
    <w:rsid w:val="4CCF2CDE"/>
    <w:rsid w:val="4CD32F17"/>
    <w:rsid w:val="4CD84F4C"/>
    <w:rsid w:val="4CE34E9F"/>
    <w:rsid w:val="4CF52D94"/>
    <w:rsid w:val="4CFB6ABE"/>
    <w:rsid w:val="4CFE5028"/>
    <w:rsid w:val="4D0B5968"/>
    <w:rsid w:val="4D19368B"/>
    <w:rsid w:val="4D307BC9"/>
    <w:rsid w:val="4D462159"/>
    <w:rsid w:val="4D47409F"/>
    <w:rsid w:val="4D525BE3"/>
    <w:rsid w:val="4D566017"/>
    <w:rsid w:val="4D6022FC"/>
    <w:rsid w:val="4D695FF9"/>
    <w:rsid w:val="4D7D3EFB"/>
    <w:rsid w:val="4D866DE7"/>
    <w:rsid w:val="4D8B0123"/>
    <w:rsid w:val="4D931B47"/>
    <w:rsid w:val="4DAF14C5"/>
    <w:rsid w:val="4DB9067A"/>
    <w:rsid w:val="4DC605B6"/>
    <w:rsid w:val="4DCA5DBC"/>
    <w:rsid w:val="4DCB146F"/>
    <w:rsid w:val="4DD053B8"/>
    <w:rsid w:val="4DD732D2"/>
    <w:rsid w:val="4DEC0985"/>
    <w:rsid w:val="4DF85277"/>
    <w:rsid w:val="4E024AB6"/>
    <w:rsid w:val="4E0538A3"/>
    <w:rsid w:val="4E0E6818"/>
    <w:rsid w:val="4E1F46AE"/>
    <w:rsid w:val="4E27683A"/>
    <w:rsid w:val="4E321D35"/>
    <w:rsid w:val="4E397241"/>
    <w:rsid w:val="4E475353"/>
    <w:rsid w:val="4E4B2B03"/>
    <w:rsid w:val="4E4C50A3"/>
    <w:rsid w:val="4E510698"/>
    <w:rsid w:val="4E53406F"/>
    <w:rsid w:val="4E576363"/>
    <w:rsid w:val="4E5D49B1"/>
    <w:rsid w:val="4E635567"/>
    <w:rsid w:val="4E674786"/>
    <w:rsid w:val="4E6E0A65"/>
    <w:rsid w:val="4E742982"/>
    <w:rsid w:val="4E766B3C"/>
    <w:rsid w:val="4E7F1E8F"/>
    <w:rsid w:val="4E7F5AF4"/>
    <w:rsid w:val="4E862481"/>
    <w:rsid w:val="4E9C0636"/>
    <w:rsid w:val="4E9D29FB"/>
    <w:rsid w:val="4EA22C4C"/>
    <w:rsid w:val="4EA30DB6"/>
    <w:rsid w:val="4EA7341F"/>
    <w:rsid w:val="4EC445EA"/>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77546"/>
    <w:rsid w:val="523E09B5"/>
    <w:rsid w:val="52687B2A"/>
    <w:rsid w:val="526B46E9"/>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2FE3EBB"/>
    <w:rsid w:val="53061721"/>
    <w:rsid w:val="530C0E6B"/>
    <w:rsid w:val="530D1C98"/>
    <w:rsid w:val="531A5380"/>
    <w:rsid w:val="531F0245"/>
    <w:rsid w:val="53227B62"/>
    <w:rsid w:val="532F77EA"/>
    <w:rsid w:val="53305814"/>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72D33"/>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0950C5"/>
    <w:rsid w:val="541E7DB0"/>
    <w:rsid w:val="54201800"/>
    <w:rsid w:val="54247F22"/>
    <w:rsid w:val="542C29CD"/>
    <w:rsid w:val="542F1551"/>
    <w:rsid w:val="54321466"/>
    <w:rsid w:val="54381756"/>
    <w:rsid w:val="544143C8"/>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3712D"/>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5E7F86"/>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E2F1B"/>
    <w:rsid w:val="59F01484"/>
    <w:rsid w:val="59F52445"/>
    <w:rsid w:val="59F55223"/>
    <w:rsid w:val="59F70BAF"/>
    <w:rsid w:val="5A023A34"/>
    <w:rsid w:val="5A0F52D4"/>
    <w:rsid w:val="5A1A17BB"/>
    <w:rsid w:val="5A297D0D"/>
    <w:rsid w:val="5A3C0F08"/>
    <w:rsid w:val="5A3E5B83"/>
    <w:rsid w:val="5A4440A8"/>
    <w:rsid w:val="5A4511BC"/>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53FD2"/>
    <w:rsid w:val="5B28192B"/>
    <w:rsid w:val="5B32616A"/>
    <w:rsid w:val="5B326DAF"/>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D91F40"/>
    <w:rsid w:val="5BE15701"/>
    <w:rsid w:val="5BE6235A"/>
    <w:rsid w:val="5BEB0120"/>
    <w:rsid w:val="5BEC175C"/>
    <w:rsid w:val="5BEF2C6F"/>
    <w:rsid w:val="5C097C4E"/>
    <w:rsid w:val="5C0D717D"/>
    <w:rsid w:val="5C1A3A93"/>
    <w:rsid w:val="5C1C16CF"/>
    <w:rsid w:val="5C235386"/>
    <w:rsid w:val="5C277EFF"/>
    <w:rsid w:val="5C395BED"/>
    <w:rsid w:val="5C3A76D7"/>
    <w:rsid w:val="5C3B6CFC"/>
    <w:rsid w:val="5C3C1AE5"/>
    <w:rsid w:val="5C414DE8"/>
    <w:rsid w:val="5C4A34F9"/>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C0450"/>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232DB"/>
    <w:rsid w:val="5F1E1D1D"/>
    <w:rsid w:val="5F28007C"/>
    <w:rsid w:val="5F3370DF"/>
    <w:rsid w:val="5F351942"/>
    <w:rsid w:val="5F395DFE"/>
    <w:rsid w:val="5F3B6ED3"/>
    <w:rsid w:val="5F40399D"/>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0637"/>
    <w:rsid w:val="602C236D"/>
    <w:rsid w:val="603514E5"/>
    <w:rsid w:val="603967D7"/>
    <w:rsid w:val="603D3325"/>
    <w:rsid w:val="604040A8"/>
    <w:rsid w:val="604269BB"/>
    <w:rsid w:val="60443CFE"/>
    <w:rsid w:val="60470CE3"/>
    <w:rsid w:val="604743E7"/>
    <w:rsid w:val="604B148A"/>
    <w:rsid w:val="6057218F"/>
    <w:rsid w:val="605F4F5D"/>
    <w:rsid w:val="606711B4"/>
    <w:rsid w:val="60673C40"/>
    <w:rsid w:val="606A52D4"/>
    <w:rsid w:val="607C3753"/>
    <w:rsid w:val="60895CED"/>
    <w:rsid w:val="608A554D"/>
    <w:rsid w:val="608D1D4E"/>
    <w:rsid w:val="608D7975"/>
    <w:rsid w:val="6092569C"/>
    <w:rsid w:val="6093187E"/>
    <w:rsid w:val="609A17DD"/>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26E81"/>
    <w:rsid w:val="61186D8B"/>
    <w:rsid w:val="6121108E"/>
    <w:rsid w:val="61421EFD"/>
    <w:rsid w:val="61457124"/>
    <w:rsid w:val="61507CAF"/>
    <w:rsid w:val="615C5041"/>
    <w:rsid w:val="61631B5D"/>
    <w:rsid w:val="617874FC"/>
    <w:rsid w:val="617A6EE7"/>
    <w:rsid w:val="617E7C88"/>
    <w:rsid w:val="61813BF8"/>
    <w:rsid w:val="6182260C"/>
    <w:rsid w:val="618479EA"/>
    <w:rsid w:val="61996169"/>
    <w:rsid w:val="619B60ED"/>
    <w:rsid w:val="61A773BF"/>
    <w:rsid w:val="61AD68BC"/>
    <w:rsid w:val="61AE5BE1"/>
    <w:rsid w:val="61B173D2"/>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781F88"/>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CA3429"/>
    <w:rsid w:val="64EC5D31"/>
    <w:rsid w:val="64F132B2"/>
    <w:rsid w:val="64FE700F"/>
    <w:rsid w:val="6500327F"/>
    <w:rsid w:val="6506609B"/>
    <w:rsid w:val="65083216"/>
    <w:rsid w:val="6508621E"/>
    <w:rsid w:val="65092761"/>
    <w:rsid w:val="651E3B1A"/>
    <w:rsid w:val="653300A4"/>
    <w:rsid w:val="65460728"/>
    <w:rsid w:val="655A04C2"/>
    <w:rsid w:val="65724C80"/>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3C79"/>
    <w:rsid w:val="665A078F"/>
    <w:rsid w:val="665B55EA"/>
    <w:rsid w:val="66641D58"/>
    <w:rsid w:val="66655F85"/>
    <w:rsid w:val="667C7AEC"/>
    <w:rsid w:val="66847466"/>
    <w:rsid w:val="66863A0F"/>
    <w:rsid w:val="668D465E"/>
    <w:rsid w:val="66984358"/>
    <w:rsid w:val="669903D3"/>
    <w:rsid w:val="6699288D"/>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2537E"/>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1E0177"/>
    <w:rsid w:val="682211D1"/>
    <w:rsid w:val="68253783"/>
    <w:rsid w:val="684167D2"/>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45CE"/>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9B024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C6171"/>
    <w:rsid w:val="6A5F3F1C"/>
    <w:rsid w:val="6A677080"/>
    <w:rsid w:val="6A6C5C1E"/>
    <w:rsid w:val="6A6C67AF"/>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53777"/>
    <w:rsid w:val="6B2B0EFD"/>
    <w:rsid w:val="6B2C13E4"/>
    <w:rsid w:val="6B2D2EEB"/>
    <w:rsid w:val="6B346460"/>
    <w:rsid w:val="6B373CEA"/>
    <w:rsid w:val="6B3E2F6F"/>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6799B"/>
    <w:rsid w:val="6BB81A6C"/>
    <w:rsid w:val="6BCF6F5D"/>
    <w:rsid w:val="6BE51CE3"/>
    <w:rsid w:val="6BE622E5"/>
    <w:rsid w:val="6BE727F5"/>
    <w:rsid w:val="6C0858B3"/>
    <w:rsid w:val="6C1134DA"/>
    <w:rsid w:val="6C240DF3"/>
    <w:rsid w:val="6C2C422A"/>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A6433C"/>
    <w:rsid w:val="6CB71894"/>
    <w:rsid w:val="6CBB58FB"/>
    <w:rsid w:val="6CC535EE"/>
    <w:rsid w:val="6CD431E3"/>
    <w:rsid w:val="6CD50C99"/>
    <w:rsid w:val="6CD63FB3"/>
    <w:rsid w:val="6CDC3EA7"/>
    <w:rsid w:val="6CDD06CC"/>
    <w:rsid w:val="6CDF2E4F"/>
    <w:rsid w:val="6CFE035F"/>
    <w:rsid w:val="6CFF5623"/>
    <w:rsid w:val="6D056EA6"/>
    <w:rsid w:val="6D13119B"/>
    <w:rsid w:val="6D1766A9"/>
    <w:rsid w:val="6D1C0C85"/>
    <w:rsid w:val="6D221E52"/>
    <w:rsid w:val="6D227835"/>
    <w:rsid w:val="6D2505E2"/>
    <w:rsid w:val="6D2663D9"/>
    <w:rsid w:val="6D2834C8"/>
    <w:rsid w:val="6D2F1F0B"/>
    <w:rsid w:val="6D3C6626"/>
    <w:rsid w:val="6D3E495C"/>
    <w:rsid w:val="6D456747"/>
    <w:rsid w:val="6D5D0DB5"/>
    <w:rsid w:val="6D6855B1"/>
    <w:rsid w:val="6D7B4AB7"/>
    <w:rsid w:val="6D836C02"/>
    <w:rsid w:val="6D874AC3"/>
    <w:rsid w:val="6D89784B"/>
    <w:rsid w:val="6D9057BE"/>
    <w:rsid w:val="6D9E0566"/>
    <w:rsid w:val="6DA438F0"/>
    <w:rsid w:val="6DB10625"/>
    <w:rsid w:val="6DBA21E4"/>
    <w:rsid w:val="6DBE7F27"/>
    <w:rsid w:val="6DC441C8"/>
    <w:rsid w:val="6DCF21B6"/>
    <w:rsid w:val="6DD13295"/>
    <w:rsid w:val="6DD62CAD"/>
    <w:rsid w:val="6DD753C4"/>
    <w:rsid w:val="6DDC3A4A"/>
    <w:rsid w:val="6DDC5249"/>
    <w:rsid w:val="6DF43BD4"/>
    <w:rsid w:val="6E0E1FAB"/>
    <w:rsid w:val="6E0F2F9F"/>
    <w:rsid w:val="6E1D22B5"/>
    <w:rsid w:val="6E20484B"/>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E4617"/>
    <w:rsid w:val="6F0F0878"/>
    <w:rsid w:val="6F2632E8"/>
    <w:rsid w:val="6F30363A"/>
    <w:rsid w:val="6F3316E5"/>
    <w:rsid w:val="6F3F40F9"/>
    <w:rsid w:val="6F5E0205"/>
    <w:rsid w:val="6F5F15C8"/>
    <w:rsid w:val="6F5F4FCB"/>
    <w:rsid w:val="6F6F14E1"/>
    <w:rsid w:val="6F781191"/>
    <w:rsid w:val="6F86160F"/>
    <w:rsid w:val="6F884D8A"/>
    <w:rsid w:val="6F89712B"/>
    <w:rsid w:val="6F983C13"/>
    <w:rsid w:val="6FA629D4"/>
    <w:rsid w:val="6FA75ADB"/>
    <w:rsid w:val="6FAF2E30"/>
    <w:rsid w:val="6FB72056"/>
    <w:rsid w:val="6FB77ED4"/>
    <w:rsid w:val="6FBD4D2F"/>
    <w:rsid w:val="6FBF4710"/>
    <w:rsid w:val="6FC9109F"/>
    <w:rsid w:val="6FDB518F"/>
    <w:rsid w:val="6FE529ED"/>
    <w:rsid w:val="6FF1529D"/>
    <w:rsid w:val="6FF517E6"/>
    <w:rsid w:val="6FF733A7"/>
    <w:rsid w:val="70003DD9"/>
    <w:rsid w:val="70072915"/>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115386"/>
    <w:rsid w:val="71151975"/>
    <w:rsid w:val="71220857"/>
    <w:rsid w:val="71222C53"/>
    <w:rsid w:val="71336A65"/>
    <w:rsid w:val="71411A70"/>
    <w:rsid w:val="71477682"/>
    <w:rsid w:val="71545B37"/>
    <w:rsid w:val="71566018"/>
    <w:rsid w:val="71570E43"/>
    <w:rsid w:val="71573E01"/>
    <w:rsid w:val="71702748"/>
    <w:rsid w:val="717719E4"/>
    <w:rsid w:val="71862E8D"/>
    <w:rsid w:val="71867894"/>
    <w:rsid w:val="718B0CD8"/>
    <w:rsid w:val="71932EAF"/>
    <w:rsid w:val="719F7A78"/>
    <w:rsid w:val="71A73EB4"/>
    <w:rsid w:val="71B25E63"/>
    <w:rsid w:val="71B30ACA"/>
    <w:rsid w:val="71B61B1C"/>
    <w:rsid w:val="71B623F6"/>
    <w:rsid w:val="71C7540C"/>
    <w:rsid w:val="71D50389"/>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349C5"/>
    <w:rsid w:val="725817D3"/>
    <w:rsid w:val="725B3685"/>
    <w:rsid w:val="726E6AD4"/>
    <w:rsid w:val="7275223F"/>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B51FC"/>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4034F"/>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A4809"/>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71B87"/>
    <w:rsid w:val="78497C2E"/>
    <w:rsid w:val="78502D35"/>
    <w:rsid w:val="785051F3"/>
    <w:rsid w:val="7854087B"/>
    <w:rsid w:val="78615D54"/>
    <w:rsid w:val="786A4053"/>
    <w:rsid w:val="786C46DA"/>
    <w:rsid w:val="786D6D22"/>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1331A"/>
    <w:rsid w:val="7964574A"/>
    <w:rsid w:val="796D45D2"/>
    <w:rsid w:val="797307CE"/>
    <w:rsid w:val="79804706"/>
    <w:rsid w:val="79807AE3"/>
    <w:rsid w:val="7988227D"/>
    <w:rsid w:val="79941CF2"/>
    <w:rsid w:val="79973382"/>
    <w:rsid w:val="79B03E5E"/>
    <w:rsid w:val="79B4353E"/>
    <w:rsid w:val="79BB4445"/>
    <w:rsid w:val="79C76124"/>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8D2E7D"/>
    <w:rsid w:val="7A9A18B5"/>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2D05E9"/>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BC2F7D"/>
    <w:rsid w:val="7BC04B6A"/>
    <w:rsid w:val="7BCD64C2"/>
    <w:rsid w:val="7BD100FC"/>
    <w:rsid w:val="7BD172BC"/>
    <w:rsid w:val="7BD3716B"/>
    <w:rsid w:val="7BD90FD0"/>
    <w:rsid w:val="7BDC3867"/>
    <w:rsid w:val="7BEC2711"/>
    <w:rsid w:val="7BF55850"/>
    <w:rsid w:val="7C0D2054"/>
    <w:rsid w:val="7C1054B7"/>
    <w:rsid w:val="7C26369C"/>
    <w:rsid w:val="7C2A465C"/>
    <w:rsid w:val="7C305879"/>
    <w:rsid w:val="7C34521A"/>
    <w:rsid w:val="7C4A2BD1"/>
    <w:rsid w:val="7C516EE4"/>
    <w:rsid w:val="7C576C70"/>
    <w:rsid w:val="7C697443"/>
    <w:rsid w:val="7C6B6666"/>
    <w:rsid w:val="7C6E4349"/>
    <w:rsid w:val="7C77043F"/>
    <w:rsid w:val="7C815ED2"/>
    <w:rsid w:val="7C8A7CDC"/>
    <w:rsid w:val="7C9516C4"/>
    <w:rsid w:val="7C9E5A24"/>
    <w:rsid w:val="7C9F7EC8"/>
    <w:rsid w:val="7CB4006B"/>
    <w:rsid w:val="7CB763AC"/>
    <w:rsid w:val="7CB93ABB"/>
    <w:rsid w:val="7CBB6FD3"/>
    <w:rsid w:val="7CDA135A"/>
    <w:rsid w:val="7CE44594"/>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12B47"/>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